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指标体系及申报说明</w:t>
      </w:r>
    </w:p>
    <w:p>
      <w:pPr>
        <w:pStyle w:val="2"/>
        <w:rPr>
          <w:rFonts w:hint="eastAsi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81"/>
        <w:gridCol w:w="5525"/>
        <w:gridCol w:w="827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综合实力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每万人民营经济市场主体数量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民营四上企业数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年营业收入亿元以上民营企业数量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民营企业100强系列榜单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上榜企业数量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发展潜力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技术改造投资占工业投资的比重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市级以上特色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产业集群数量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专精特新企业数量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瞪羚、独角兽企业数量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单项冠军企业数量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创新活力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规模以上工业企业研发经费占营业收入比重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研发投入强度（研发经费与区域GDP之比）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创新创业载体数量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科技型中小企业数量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高新技术企业数量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数字化能力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每万人拥有5G基站数量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中小企业数字化转型“小灯塔”或标杆企业数量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sz w:val="24"/>
                <w:szCs w:val="24"/>
              </w:rPr>
              <w:t>两化融合管理体系贯标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DCMM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1"/>
                <w:sz w:val="24"/>
                <w:szCs w:val="24"/>
              </w:rPr>
              <w:t>贯标评定企业数量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绿色动力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规模以上工业单位增加值能耗降低率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PM2.5平均浓度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PM2.5平均浓度同比改善率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地表水考核断面达标率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市级以上绿色工厂数量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服务能力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建立政企沟通及全生命周期服务机制情况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定性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营造公平竞争的市场环境情况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定性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中小企业公共服务示范平台数量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培训民营企业家数量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定量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约束条件</w:t>
            </w:r>
          </w:p>
        </w:tc>
        <w:tc>
          <w:tcPr>
            <w:tcW w:w="5525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近三个统计年度内是否发生重大及以上生产安全责任事故、重大产品质量事件、重大及以上突发环境事件、统计数据不实问题。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一票否决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指标测算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定量指标按步骤一进行标准化处理，定性指标根据实际工作开展情况得出标准分，各个指标按步骤二进行加权计算，得出每个镇（乡、街道办事处）最终得分。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对每个镇（乡、街道办事处）单项指标值进行标准化处理，计算每项指标的个体分数，计算公式为（功效系数法）：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正向型指标（既指标值越大，其个体分数越高）</w:t>
      </w:r>
    </w:p>
    <w:p>
      <w:pPr>
        <w:ind w:firstLine="640" w:firstLineChars="200"/>
        <w:rPr>
          <w:rFonts w:hint="default" w:ascii="仿宋_GB2312" w:hAnsi="仿宋_GB2312" w:eastAsia="宋体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m:oMathPara>
        <m:oMath>
          <m:sSub>
            <m:sSubPr>
              <m:ctrlPr>
                <w:rPr>
                  <w:rFonts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Y</m:t>
              </m:r>
              <m:ctrlPr>
                <w:rPr>
                  <w:rFonts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i</m:t>
              </m:r>
              <m:ctrlPr>
                <w:rPr>
                  <w:rFonts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sub>
          </m:sSub>
          <m:r>
            <w:rPr>
              <w:rFonts w:hint="default" w:ascii="Cambria Math" w:hAnsi="Cambria Math" w:cs="仿宋_GB2312"/>
              <w:caps w:val="0"/>
              <w:color w:val="auto"/>
              <w:spacing w:val="0"/>
              <w:kern w:val="0"/>
              <w:sz w:val="32"/>
              <w:szCs w:val="32"/>
              <w:shd w:val="clear" w:color="auto" w:fill="FFFFFF"/>
              <w:lang w:val="en-US" w:eastAsia="zh-CN" w:bidi="ar"/>
            </w:rPr>
            <m:t>=60+</m:t>
          </m:r>
          <m:f>
            <m:fP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i,min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i,max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i,min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den>
          </m:f>
          <m:r>
            <w:rPr>
              <w:rFonts w:ascii="Cambria Math" w:hAnsi="Cambria Math" w:cs="仿宋_GB2312"/>
              <w:caps w:val="0"/>
              <w:color w:val="auto"/>
              <w:spacing w:val="0"/>
              <w:kern w:val="0"/>
              <w:sz w:val="32"/>
              <w:szCs w:val="32"/>
              <w:shd w:val="clear" w:color="auto" w:fill="FFFFFF"/>
              <w:lang w:val="en-US" w:bidi="ar"/>
            </w:rPr>
            <m:t>×</m:t>
          </m:r>
          <m:r>
            <w:rPr>
              <w:rFonts w:hint="default" w:ascii="Cambria Math" w:hAnsi="Cambria Math" w:cs="仿宋_GB2312"/>
              <w:caps w:val="0"/>
              <w:color w:val="auto"/>
              <w:spacing w:val="0"/>
              <w:kern w:val="0"/>
              <w:sz w:val="32"/>
              <w:szCs w:val="32"/>
              <w:shd w:val="clear" w:color="auto" w:fill="FFFFFF"/>
              <w:lang w:val="en-US" w:eastAsia="zh-CN" w:bidi="ar"/>
            </w:rPr>
            <m:t>40</m:t>
          </m:r>
        </m:oMath>
      </m:oMathPara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逆向型指标（既指标值越小，其个体分数越高）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m:oMathPara>
        <m:oMath>
          <m:sSub>
            <m:sSubP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Y</m:t>
              </m: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i</m:t>
              </m: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仿宋_GB2312"/>
              <w:caps w:val="0"/>
              <w:color w:val="auto"/>
              <w:spacing w:val="0"/>
              <w:kern w:val="0"/>
              <w:sz w:val="32"/>
              <w:szCs w:val="32"/>
              <w:shd w:val="clear" w:color="auto" w:fill="FFFFFF"/>
              <w:lang w:val="en-US" w:eastAsia="zh-CN" w:bidi="ar"/>
            </w:rPr>
            <m:t>=60+</m:t>
          </m:r>
          <m:f>
            <m:fP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i,max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i,max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X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仿宋_GB2312"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  <m:t>i,min</m:t>
                  </m:r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</m:sSub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仿宋_GB2312"/>
              <w:caps w:val="0"/>
              <w:color w:val="auto"/>
              <w:spacing w:val="0"/>
              <w:kern w:val="0"/>
              <w:sz w:val="32"/>
              <w:szCs w:val="32"/>
              <w:shd w:val="clear" w:color="auto" w:fill="FFFFFF"/>
              <w:lang w:val="en-US" w:bidi="ar"/>
            </w:rPr>
            <m:t>×</m:t>
          </m:r>
          <m:r>
            <m:rPr>
              <m:sty m:val="p"/>
            </m:rPr>
            <w:rPr>
              <w:rFonts w:hint="default" w:ascii="Cambria Math" w:hAnsi="Cambria Math" w:cs="仿宋_GB2312"/>
              <w:caps w:val="0"/>
              <w:color w:val="auto"/>
              <w:spacing w:val="0"/>
              <w:kern w:val="0"/>
              <w:sz w:val="32"/>
              <w:szCs w:val="32"/>
              <w:shd w:val="clear" w:color="auto" w:fill="FFFFFF"/>
              <w:lang w:val="en-US" w:eastAsia="zh-CN" w:bidi="ar"/>
            </w:rPr>
            <m:t>40</m:t>
          </m:r>
        </m:oMath>
      </m:oMathPara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其中：</w:t>
      </w:r>
      <m:oMath>
        <m:sSub>
          <m:sSubP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Y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为该镇（乡、街道办事处）第</w:t>
      </w:r>
      <w:r>
        <w:rPr>
          <w:rFonts w:hint="eastAsia" w:ascii="仿宋_GB2312" w:hAnsi="仿宋_GB2312" w:eastAsia="仿宋_GB2312" w:cs="仿宋_GB2312"/>
          <w:b/>
          <w:bCs/>
          <w:i/>
          <w:i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i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项指标的实际得分；</w:t>
      </w:r>
      <m:oMath>
        <m:sSub>
          <m:sSubP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X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为该镇（乡、街道办事处）第</w:t>
      </w:r>
      <w:r>
        <w:rPr>
          <w:rFonts w:hint="eastAsia" w:ascii="仿宋_GB2312" w:hAnsi="仿宋_GB2312" w:eastAsia="仿宋_GB2312" w:cs="仿宋_GB2312"/>
          <w:b/>
          <w:bCs/>
          <w:i/>
          <w:i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i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项指标具体值；</w:t>
      </w:r>
      <m:oMath>
        <m:sSub>
          <m:sSubP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X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i,max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为该指标所有申报镇（乡、街道办事处）的最大值；</w:t>
      </w:r>
      <m:oMath>
        <m:sSub>
          <m:sSubP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X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i，min</m:t>
            </m:r>
            <m:ctrlPr>
              <w:rPr>
                <w:rFonts w:hint="default" w:ascii="Cambria Math" w:hAnsi="Cambria Math" w:cs="仿宋_GB2312"/>
                <w:i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为该指标所有申报镇（乡、街道办事处）的最小值。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步骤二：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对单个指标得分进行加权计算，计算各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（乡、街道办事处）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所有指标的总体分值，计算公式为：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m:oMathPara>
        <m:oMath>
          <m:sSub>
            <m:sSubP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F</m:t>
              </m: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仿宋_GB2312"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  <m:t>i</m:t>
              </m: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bidi="ar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仿宋_GB2312"/>
              <w:caps w:val="0"/>
              <w:color w:val="auto"/>
              <w:spacing w:val="0"/>
              <w:kern w:val="0"/>
              <w:sz w:val="32"/>
              <w:szCs w:val="32"/>
              <w:shd w:val="clear" w:color="auto" w:fill="FFFFFF"/>
              <w:lang w:val="en-US" w:eastAsia="zh-CN" w:bidi="ar"/>
            </w:rPr>
            <m:t>=</m:t>
          </m:r>
          <m:f>
            <m:fPr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naryPr>
                <m:sub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  <m:sup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p>
                <m:e>
                  <m:sSub>
                    <m:sSubP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仿宋_GB2312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  <m:t>Y</m:t>
                      </m: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cs="仿宋_GB2312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  <m:t>i</m:t>
                      </m: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仿宋_GB2312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  <m:t>W</m:t>
                      </m: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cs="仿宋_GB2312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  <m:t>i</m:t>
                      </m: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</m:nary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naryPr>
                <m:sub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b>
                <m:sup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sup>
                <m:e>
                  <m:sSub>
                    <m:sSubP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仿宋_GB2312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  <m:t>W</m:t>
                      </m: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cs="仿宋_GB2312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  <m:t>i</m:t>
                      </m:r>
                      <m:ctrlPr>
                        <w:rPr>
                          <w:rFonts w:hint="default" w:ascii="Cambria Math" w:hAnsi="Cambria Math" w:cs="仿宋_GB2312"/>
                          <w:i w:val="0"/>
                          <w:iCs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color="auto" w:fill="FFFFFF"/>
                          <w:lang w:val="en-US" w:eastAsia="zh-CN" w:bidi="ar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仿宋_GB2312"/>
                      <w:i w:val="0"/>
                      <w:iCs/>
                      <w:caps w:val="0"/>
                      <w:color w:val="auto"/>
                      <w:spacing w:val="0"/>
                      <w:kern w:val="0"/>
                      <w:sz w:val="32"/>
                      <w:szCs w:val="32"/>
                      <w:shd w:val="clear" w:color="auto" w:fill="FFFFFF"/>
                      <w:lang w:val="en-US" w:eastAsia="zh-CN" w:bidi="ar"/>
                    </w:rPr>
                  </m:ctrlPr>
                </m:e>
              </m:nary>
              <m:ctrlPr>
                <w:rPr>
                  <w:rFonts w:hint="default" w:ascii="Cambria Math" w:hAnsi="Cambria Math" w:cs="仿宋_GB2312"/>
                  <w:i w:val="0"/>
                  <w:iCs/>
                  <w:caps w:val="0"/>
                  <w:color w:val="auto"/>
                  <w:spacing w:val="0"/>
                  <w:kern w:val="0"/>
                  <w:sz w:val="32"/>
                  <w:szCs w:val="32"/>
                  <w:shd w:val="clear" w:color="auto" w:fill="FFFFFF"/>
                  <w:lang w:val="en-US" w:eastAsia="zh-CN" w:bidi="ar"/>
                </w:rPr>
              </m:ctrlPr>
            </m:den>
          </m:f>
        </m:oMath>
      </m:oMathPara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其中，</w:t>
      </w:r>
      <m:oMath>
        <m:sSub>
          <m:sSubP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F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为该镇（乡、街道办事处）总体分值，</w:t>
      </w:r>
      <m:oMath>
        <m:sSub>
          <m:sSubP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Y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为该镇（乡、街道办事处）第</w:t>
      </w:r>
      <w:r>
        <w:rPr>
          <w:rFonts w:hint="eastAsia" w:ascii="仿宋_GB2312" w:hAnsi="仿宋_GB2312" w:eastAsia="仿宋_GB2312" w:cs="仿宋_GB2312"/>
          <w:b/>
          <w:bCs/>
          <w:i/>
          <w:iCs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i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个指标的个体分数，</w:t>
      </w:r>
      <m:oMath>
        <m:sSub>
          <m:sSubP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W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为指标值</w:t>
      </w:r>
      <m:oMath>
        <m:sSub>
          <m:sSubP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SubPr>
          <m:e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X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e>
          <m:sub>
            <m:r>
              <w:rPr>
                <w:rFonts w:hint="default" w:ascii="Cambria Math" w:hAnsi="Cambria Math" w:cs="仿宋_GB2312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m:t>i</m:t>
            </m:r>
            <m:ctrlPr>
              <w:rPr>
                <w:rFonts w:hint="default" w:ascii="Cambria Math" w:hAnsi="Cambria Math" w:cs="仿宋_GB2312"/>
                <w:i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bidi="ar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的权重。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结果计算，将所有申报的镇（乡、街道办事处）按照综合得分更低进行排序，综合各镇（乡、街道办事处）以开展今后工作举措情况，最终确定民营经济高质量发展先进镇（乡、街道办事处）。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申报说明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1.指标涉及数据截止至上一年度12月31日。</w:t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2.指标体系设计的每个指标需提供相应的佐证材料。工作举措部分设计的内容，需提供领导、会议纪要、立项手续等相应支撑材料。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Q1MTgxNDk5NzZlNzM1Njg1ZWM3ZWE5ZDEyN2EifQ=="/>
  </w:docVars>
  <w:rsids>
    <w:rsidRoot w:val="00000000"/>
    <w:rsid w:val="0BE468FB"/>
    <w:rsid w:val="22E01DBB"/>
    <w:rsid w:val="26C835B9"/>
    <w:rsid w:val="2A832580"/>
    <w:rsid w:val="2B9C46E7"/>
    <w:rsid w:val="3DEF5F19"/>
    <w:rsid w:val="41075E6D"/>
    <w:rsid w:val="465C0DBF"/>
    <w:rsid w:val="48721ED1"/>
    <w:rsid w:val="545F7A55"/>
    <w:rsid w:val="55427BFD"/>
    <w:rsid w:val="5CAF1DD3"/>
    <w:rsid w:val="5E647B5B"/>
    <w:rsid w:val="63905374"/>
    <w:rsid w:val="64DA0E25"/>
    <w:rsid w:val="7BA2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Times New Roman" w:hAnsi="Times New Roman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2021-12-01T05:52:00Z</dcterms:created>
  <dc:creator>86189</dc:creator>
  <cp:lastModifiedBy>lenovo</cp:lastModifiedBy>
  <dcterms:modified xsi:type="dcterms:W3CDTF">2023-03-13T03:11:47Z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753F16BA8E5F4A278E099B42F56935EB</vt:lpwstr>
  </property>
</Properties>
</file>