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聊城市中小企业数字化转型实施方案</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-2025年）</w:t>
      </w:r>
    </w:p>
    <w:p>
      <w:pPr>
        <w:jc w:val="center"/>
        <w:rPr>
          <w:rFonts w:hint="eastAsia" w:ascii="楷体_GB2312" w:eastAsia="楷体_GB2312"/>
          <w:sz w:val="32"/>
          <w:szCs w:val="32"/>
        </w:rPr>
      </w:pPr>
      <w:r>
        <w:rPr>
          <w:rFonts w:hint="eastAsia" w:ascii="楷体_GB2312" w:eastAsia="楷体_GB2312"/>
          <w:sz w:val="32"/>
          <w:szCs w:val="32"/>
        </w:rPr>
        <w:t>（征求意见稿）</w:t>
      </w: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中小企业数字化转型是我市传统产业改造提升的重要内容，是实现质量变革、效率变革</w:t>
      </w:r>
      <w:bookmarkStart w:id="0" w:name="_GoBack"/>
      <w:bookmarkEnd w:id="0"/>
      <w:r>
        <w:rPr>
          <w:rFonts w:hint="eastAsia" w:ascii="仿宋_GB2312" w:hAnsi="仿宋_GB2312" w:eastAsia="仿宋_GB2312" w:cs="仿宋_GB2312"/>
          <w:sz w:val="32"/>
          <w:szCs w:val="32"/>
          <w:lang w:val="en-US" w:eastAsia="zh-CN"/>
        </w:rPr>
        <w:t>、动力变革的关键举措。为贯彻落实党中央、国务院，省委、省政府关于加快中小企业数字化发展的决策部署，让数字化转型更好助力我市中小企业高质量发展，制定本方案。</w:t>
      </w:r>
    </w:p>
    <w:p>
      <w:pPr>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snapToGrid w:val="0"/>
        <w:spacing w:line="600" w:lineRule="exact"/>
        <w:ind w:firstLine="640" w:firstLineChars="200"/>
        <w:rPr>
          <w:rFonts w:eastAsia="仿宋_GB2312"/>
          <w:color w:val="auto"/>
          <w:sz w:val="32"/>
        </w:rPr>
      </w:pPr>
      <w:r>
        <w:rPr>
          <w:rFonts w:hint="eastAsia" w:ascii="仿宋_GB2312" w:hAnsi="仿宋_GB2312" w:eastAsia="仿宋_GB2312" w:cs="仿宋_GB2312"/>
          <w:b w:val="0"/>
          <w:bCs w:val="0"/>
          <w:color w:val="auto"/>
          <w:kern w:val="0"/>
          <w:sz w:val="32"/>
          <w:szCs w:val="32"/>
          <w:highlight w:val="none"/>
          <w:lang w:val="en-US" w:eastAsia="zh-CN" w:bidi="ar-SA"/>
        </w:rPr>
        <w:t>以习近平新时代中国特色社会主义思想为指导，深入贯彻党的二十大精神，坚定不移贯彻新发展理念，以</w:t>
      </w:r>
      <w:r>
        <w:rPr>
          <w:rFonts w:hint="eastAsia" w:ascii="仿宋_GB2312" w:hAnsi="仿宋_GB2312" w:eastAsia="仿宋_GB2312" w:cs="仿宋_GB2312"/>
          <w:i w:val="0"/>
          <w:caps w:val="0"/>
          <w:color w:val="auto"/>
          <w:spacing w:val="0"/>
          <w:sz w:val="32"/>
          <w:szCs w:val="32"/>
          <w:lang w:val="en-US" w:eastAsia="zh-CN"/>
        </w:rPr>
        <w:t>助力中小企业科学高效数字化转型和提升为中小企业提供数字化产品和服务能力为目标，遵循</w:t>
      </w:r>
      <w:r>
        <w:rPr>
          <w:rFonts w:hint="eastAsia" w:ascii="仿宋_GB2312" w:hAnsi="仿宋_GB2312" w:eastAsia="仿宋_GB2312" w:cs="仿宋_GB2312"/>
          <w:color w:val="auto"/>
          <w:sz w:val="32"/>
          <w:szCs w:val="32"/>
        </w:rPr>
        <w:t>“小快轻准”</w:t>
      </w:r>
      <w:r>
        <w:rPr>
          <w:rFonts w:hint="eastAsia" w:ascii="仿宋_GB2312" w:hAnsi="仿宋_GB2312" w:eastAsia="仿宋_GB2312" w:cs="仿宋_GB2312"/>
          <w:color w:val="auto"/>
          <w:sz w:val="32"/>
          <w:szCs w:val="32"/>
          <w:lang w:val="en-US" w:eastAsia="zh-CN"/>
        </w:rPr>
        <w:t>总体原则，</w:t>
      </w:r>
      <w:r>
        <w:rPr>
          <w:rFonts w:hint="eastAsia" w:ascii="仿宋_GB2312" w:hAnsi="仿宋_GB2312" w:eastAsia="仿宋_GB2312" w:cs="仿宋_GB2312"/>
          <w:i w:val="0"/>
          <w:caps w:val="0"/>
          <w:color w:val="auto"/>
          <w:spacing w:val="0"/>
          <w:sz w:val="32"/>
          <w:szCs w:val="32"/>
          <w:lang w:val="en-US" w:eastAsia="zh-CN"/>
        </w:rPr>
        <w:t>围绕数字化培训、技术赋能、政策集成支持三大主线，</w:t>
      </w:r>
      <w:r>
        <w:rPr>
          <w:rFonts w:hint="eastAsia" w:ascii="仿宋_GB2312" w:hAnsi="仿宋_GB2312" w:eastAsia="仿宋_GB2312" w:cs="仿宋_GB2312"/>
          <w:color w:val="auto"/>
          <w:sz w:val="32"/>
          <w:szCs w:val="32"/>
          <w:lang w:val="en-US" w:eastAsia="zh-CN"/>
        </w:rPr>
        <w:t>引领</w:t>
      </w:r>
      <w:r>
        <w:rPr>
          <w:rFonts w:hint="eastAsia" w:ascii="仿宋_GB2312" w:hAnsi="仿宋_GB2312" w:eastAsia="仿宋_GB2312" w:cs="仿宋_GB2312"/>
          <w:color w:val="auto"/>
          <w:sz w:val="32"/>
          <w:szCs w:val="32"/>
        </w:rPr>
        <w:t>中小企业</w:t>
      </w:r>
      <w:r>
        <w:rPr>
          <w:rFonts w:hint="eastAsia" w:ascii="仿宋_GB2312" w:hAnsi="仿宋_GB2312" w:eastAsia="仿宋_GB2312" w:cs="仿宋_GB2312"/>
          <w:color w:val="auto"/>
          <w:sz w:val="32"/>
          <w:szCs w:val="32"/>
          <w:lang w:val="en-US" w:eastAsia="zh-CN"/>
        </w:rPr>
        <w:t>业务模式重构、管理模式变革、商业模式创新，推动中小企业</w:t>
      </w:r>
      <w:r>
        <w:rPr>
          <w:rFonts w:hint="eastAsia" w:ascii="仿宋_GB2312" w:hAnsi="仿宋_GB2312" w:eastAsia="仿宋_GB2312" w:cs="仿宋_GB2312"/>
          <w:i w:val="0"/>
          <w:caps w:val="0"/>
          <w:color w:val="auto"/>
          <w:spacing w:val="0"/>
          <w:sz w:val="32"/>
          <w:szCs w:val="32"/>
          <w:shd w:val="clear" w:fill="FFFFFF"/>
        </w:rPr>
        <w:t>创新能力、</w:t>
      </w:r>
      <w:r>
        <w:rPr>
          <w:rFonts w:hint="eastAsia" w:ascii="仿宋_GB2312" w:hAnsi="仿宋_GB2312" w:eastAsia="仿宋_GB2312" w:cs="仿宋_GB2312"/>
          <w:i w:val="0"/>
          <w:caps w:val="0"/>
          <w:color w:val="auto"/>
          <w:spacing w:val="0"/>
          <w:sz w:val="32"/>
          <w:szCs w:val="32"/>
          <w:shd w:val="clear" w:fill="FFFFFF"/>
          <w:lang w:val="en-US" w:eastAsia="zh-CN"/>
        </w:rPr>
        <w:t>应对风险</w:t>
      </w:r>
      <w:r>
        <w:rPr>
          <w:rFonts w:hint="eastAsia" w:ascii="仿宋_GB2312" w:hAnsi="仿宋_GB2312" w:eastAsia="仿宋_GB2312" w:cs="仿宋_GB2312"/>
          <w:i w:val="0"/>
          <w:caps w:val="0"/>
          <w:color w:val="auto"/>
          <w:spacing w:val="0"/>
          <w:sz w:val="32"/>
          <w:szCs w:val="32"/>
          <w:shd w:val="clear" w:fill="FFFFFF"/>
        </w:rPr>
        <w:t>能力</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执行能力</w:t>
      </w:r>
      <w:r>
        <w:rPr>
          <w:rFonts w:hint="eastAsia" w:ascii="仿宋_GB2312" w:hAnsi="仿宋_GB2312" w:eastAsia="仿宋_GB2312" w:cs="仿宋_GB2312"/>
          <w:i w:val="0"/>
          <w:caps w:val="0"/>
          <w:color w:val="auto"/>
          <w:spacing w:val="0"/>
          <w:sz w:val="32"/>
          <w:szCs w:val="32"/>
          <w:shd w:val="clear" w:fill="FFFFFF"/>
          <w:lang w:val="en-US" w:eastAsia="zh-CN"/>
        </w:rPr>
        <w:t>有效提升，以高水平数字化转型支撑中小企业高质量发展，为</w:t>
      </w:r>
      <w:r>
        <w:rPr>
          <w:rFonts w:hint="eastAsia" w:eastAsia="仿宋_GB2312"/>
          <w:color w:val="auto"/>
          <w:sz w:val="32"/>
        </w:rPr>
        <w:t>实现建设“六个新聊城”目标</w:t>
      </w:r>
      <w:r>
        <w:rPr>
          <w:rFonts w:hint="eastAsia" w:eastAsia="仿宋_GB2312"/>
          <w:color w:val="auto"/>
          <w:sz w:val="32"/>
          <w:lang w:val="en-US" w:eastAsia="zh-CN"/>
        </w:rPr>
        <w:t>作出新贡献</w:t>
      </w:r>
      <w:r>
        <w:rPr>
          <w:rFonts w:hint="eastAsia" w:eastAsia="仿宋_GB2312"/>
          <w:color w:val="auto"/>
          <w:sz w:val="32"/>
        </w:rPr>
        <w:t>。</w:t>
      </w:r>
    </w:p>
    <w:p>
      <w:pPr>
        <w:ind w:firstLine="640" w:firstLineChars="200"/>
        <w:jc w:val="both"/>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二、任务目标</w:t>
      </w:r>
    </w:p>
    <w:p>
      <w:pPr>
        <w:ind w:firstLine="640" w:firstLineChars="200"/>
        <w:jc w:val="both"/>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以新一代信息技术与应用为引领，以提升中小企业竞争力、夯实可持续发展基础为目标，分产业、分区域、分类型探索中小企业数字化转型升级路径，集聚一批面向中小企业的数字化转型服务机构，培育推广一批符合中小企业数字化转型需求的工业互联网平台、系统解决方案、产品和服务，显著提升中小企业综合实力和核心竞争力。力争到2025年，打造</w:t>
      </w:r>
      <w:r>
        <w:rPr>
          <w:rFonts w:hint="eastAsia" w:ascii="仿宋_GB2312" w:hAnsi="仿宋_GB2312" w:eastAsia="仿宋_GB2312" w:cs="仿宋_GB2312"/>
          <w:b w:val="0"/>
          <w:color w:val="auto"/>
          <w:sz w:val="32"/>
          <w:szCs w:val="32"/>
          <w:lang w:val="en-US" w:eastAsia="zh-CN"/>
        </w:rPr>
        <w:t>中小企业数字化转型标杆</w:t>
      </w:r>
      <w:r>
        <w:rPr>
          <w:rFonts w:hint="eastAsia" w:ascii="仿宋_GB2312" w:eastAsia="仿宋_GB2312"/>
          <w:color w:val="auto"/>
          <w:sz w:val="32"/>
          <w:szCs w:val="32"/>
          <w:highlight w:val="none"/>
          <w:lang w:val="en-US" w:eastAsia="zh-CN"/>
        </w:rPr>
        <w:t>300</w:t>
      </w:r>
      <w:r>
        <w:rPr>
          <w:rFonts w:hint="eastAsia" w:ascii="仿宋_GB2312" w:hAnsi="仿宋_GB2312" w:eastAsia="仿宋_GB2312" w:cs="仿宋_GB2312"/>
          <w:i w:val="0"/>
          <w:caps w:val="0"/>
          <w:color w:val="auto"/>
          <w:spacing w:val="0"/>
          <w:sz w:val="32"/>
          <w:szCs w:val="32"/>
          <w:lang w:val="en-US" w:eastAsia="zh-CN"/>
        </w:rPr>
        <w:t>个[各县（市、区）每年10个]，每年推动</w:t>
      </w:r>
      <w:r>
        <w:rPr>
          <w:rFonts w:hint="eastAsia" w:ascii="仿宋_GB2312" w:eastAsia="仿宋_GB2312"/>
          <w:color w:val="auto"/>
          <w:sz w:val="32"/>
          <w:szCs w:val="32"/>
          <w:highlight w:val="none"/>
          <w:lang w:val="en-US" w:eastAsia="zh-CN"/>
        </w:rPr>
        <w:t>1000</w:t>
      </w:r>
      <w:r>
        <w:rPr>
          <w:rFonts w:hint="eastAsia" w:ascii="仿宋_GB2312" w:hAnsi="仿宋_GB2312" w:eastAsia="仿宋_GB2312" w:cs="仿宋_GB2312"/>
          <w:i w:val="0"/>
          <w:caps w:val="0"/>
          <w:color w:val="auto"/>
          <w:spacing w:val="0"/>
          <w:sz w:val="32"/>
          <w:szCs w:val="32"/>
          <w:lang w:val="en-US" w:eastAsia="zh-CN"/>
        </w:rPr>
        <w:t>个中小企业数字化智能化发展[各县（市、区）每年100个]。</w:t>
      </w:r>
    </w:p>
    <w:p>
      <w:pPr>
        <w:numPr>
          <w:ilvl w:val="0"/>
          <w:numId w:val="0"/>
        </w:numPr>
        <w:ind w:firstLine="640" w:firstLineChars="200"/>
        <w:jc w:val="both"/>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三、基本原则</w:t>
      </w:r>
    </w:p>
    <w:p>
      <w:pPr>
        <w:widowControl w:val="0"/>
        <w:numPr>
          <w:ilvl w:val="0"/>
          <w:numId w:val="0"/>
        </w:numPr>
        <w:ind w:firstLine="640" w:firstLineChars="200"/>
        <w:jc w:val="both"/>
        <w:rPr>
          <w:rFonts w:hint="eastAsia" w:ascii="仿宋_GB2312" w:hAnsi="仿宋_GB2312" w:eastAsia="仿宋_GB2312" w:cs="仿宋_GB2312"/>
          <w:i w:val="0"/>
          <w:caps w:val="0"/>
          <w:color w:val="auto"/>
          <w:spacing w:val="0"/>
          <w:sz w:val="32"/>
          <w:szCs w:val="32"/>
          <w:lang w:val="en-US" w:eastAsia="zh-CN"/>
        </w:rPr>
      </w:pPr>
      <w:r>
        <w:rPr>
          <w:rFonts w:hint="eastAsia" w:ascii="楷体_GB2312" w:hAnsi="楷体_GB2312" w:eastAsia="楷体_GB2312" w:cs="楷体_GB2312"/>
          <w:b w:val="0"/>
          <w:bCs w:val="0"/>
          <w:i w:val="0"/>
          <w:caps w:val="0"/>
          <w:color w:val="auto"/>
          <w:spacing w:val="0"/>
          <w:sz w:val="32"/>
          <w:szCs w:val="32"/>
          <w:lang w:val="en-US" w:eastAsia="zh-CN"/>
        </w:rPr>
        <w:t>1.坚持问题导向。</w:t>
      </w:r>
      <w:r>
        <w:rPr>
          <w:rFonts w:hint="eastAsia" w:ascii="仿宋_GB2312" w:hAnsi="仿宋_GB2312" w:eastAsia="仿宋_GB2312" w:cs="仿宋_GB2312"/>
          <w:i w:val="0"/>
          <w:caps w:val="0"/>
          <w:color w:val="auto"/>
          <w:spacing w:val="0"/>
          <w:sz w:val="32"/>
          <w:szCs w:val="32"/>
          <w:lang w:val="en-US" w:eastAsia="zh-CN"/>
        </w:rPr>
        <w:t>围绕中小企业数字化转型核心痛点、难点，聚焦中小企业数字化转型不想转、不能转、不会转、不急转、不敢转等问题，汇聚政产学研用金等多方力量，创新理念、精准施策，从顶层战略设计到方案落地，直击企业核心诉求，助力企业实现质的飞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auto"/>
          <w:sz w:val="30"/>
          <w:szCs w:val="30"/>
        </w:rPr>
      </w:pPr>
      <w:r>
        <w:rPr>
          <w:rFonts w:hint="eastAsia" w:ascii="楷体_GB2312" w:hAnsi="楷体_GB2312" w:eastAsia="楷体_GB2312" w:cs="楷体_GB2312"/>
          <w:i w:val="0"/>
          <w:caps w:val="0"/>
          <w:color w:val="auto"/>
          <w:spacing w:val="0"/>
          <w:sz w:val="32"/>
          <w:szCs w:val="32"/>
          <w:lang w:val="en-US" w:eastAsia="zh-CN"/>
        </w:rPr>
        <w:t>2.</w:t>
      </w:r>
      <w:r>
        <w:rPr>
          <w:rFonts w:hint="eastAsia" w:ascii="楷体_GB2312" w:hAnsi="楷体_GB2312" w:eastAsia="楷体_GB2312" w:cs="楷体_GB2312"/>
          <w:b w:val="0"/>
          <w:bCs w:val="0"/>
          <w:i w:val="0"/>
          <w:caps w:val="0"/>
          <w:color w:val="auto"/>
          <w:spacing w:val="0"/>
          <w:sz w:val="32"/>
          <w:szCs w:val="32"/>
          <w:lang w:val="en-US" w:eastAsia="zh-CN"/>
        </w:rPr>
        <w:t>坚持</w:t>
      </w:r>
      <w:r>
        <w:rPr>
          <w:rFonts w:hint="eastAsia" w:ascii="楷体_GB2312" w:hAnsi="楷体_GB2312" w:eastAsia="楷体_GB2312" w:cs="楷体_GB2312"/>
          <w:color w:val="auto"/>
          <w:sz w:val="32"/>
          <w:szCs w:val="32"/>
        </w:rPr>
        <w:t>“小快轻准”</w:t>
      </w:r>
      <w:r>
        <w:rPr>
          <w:rFonts w:hint="eastAsia" w:ascii="楷体_GB2312" w:hAnsi="楷体_GB2312" w:eastAsia="楷体_GB2312" w:cs="楷体_GB2312"/>
          <w:color w:val="auto"/>
          <w:sz w:val="32"/>
          <w:szCs w:val="32"/>
          <w:lang w:val="en-US" w:eastAsia="zh-CN"/>
        </w:rPr>
        <w:t>原则。</w:t>
      </w:r>
      <w:r>
        <w:rPr>
          <w:rFonts w:hint="eastAsia" w:ascii="仿宋_GB2312" w:hAnsi="仿宋_GB2312" w:eastAsia="仿宋_GB2312" w:cs="仿宋_GB2312"/>
          <w:color w:val="auto"/>
          <w:sz w:val="32"/>
          <w:szCs w:val="32"/>
        </w:rPr>
        <w:t>聚焦中小企业特征及需求，研制小型化、快速化、轻量化、精准化（“小快轻准”）产品，围绕“评估、规划、实施、优化”全流程提供专业化服务，基于应用反馈提升产品服务供给水平。</w:t>
      </w:r>
    </w:p>
    <w:p>
      <w:pPr>
        <w:pStyle w:val="8"/>
        <w:keepNext w:val="0"/>
        <w:keepLines w:val="0"/>
        <w:widowControl/>
        <w:suppressLineNumbers w:val="0"/>
        <w:spacing w:before="0" w:beforeAutospacing="0" w:after="0" w:afterAutospacing="0" w:line="540" w:lineRule="atLeast"/>
        <w:ind w:left="0" w:right="0" w:firstLine="420"/>
        <w:jc w:val="both"/>
        <w:rPr>
          <w:rFonts w:hint="default" w:ascii="黑体" w:hAnsi="黑体" w:eastAsia="黑体" w:cs="黑体"/>
          <w:color w:val="auto"/>
          <w:sz w:val="32"/>
          <w:szCs w:val="32"/>
          <w:lang w:val="en-US" w:eastAsia="zh-CN"/>
        </w:rPr>
      </w:pPr>
      <w:r>
        <w:rPr>
          <w:rFonts w:hint="eastAsia" w:ascii="楷体_GB2312" w:hAnsi="楷体_GB2312" w:eastAsia="楷体_GB2312" w:cs="楷体_GB2312"/>
          <w:b w:val="0"/>
          <w:bCs w:val="0"/>
          <w:i w:val="0"/>
          <w:caps w:val="0"/>
          <w:color w:val="auto"/>
          <w:spacing w:val="0"/>
          <w:sz w:val="32"/>
          <w:szCs w:val="32"/>
          <w:lang w:val="en-US" w:eastAsia="zh-CN"/>
        </w:rPr>
        <w:t>3.坚持示范引领。</w:t>
      </w:r>
      <w:r>
        <w:rPr>
          <w:rFonts w:hint="eastAsia" w:ascii="仿宋_GB2312" w:hAnsi="仿宋_GB2312" w:eastAsia="仿宋_GB2312" w:cs="仿宋_GB2312"/>
          <w:i w:val="0"/>
          <w:caps w:val="0"/>
          <w:color w:val="auto"/>
          <w:spacing w:val="0"/>
          <w:sz w:val="32"/>
          <w:szCs w:val="32"/>
          <w:lang w:val="en-US" w:eastAsia="zh-CN"/>
        </w:rPr>
        <w:t>总结各县（市、区）数字化赋能中小企业的好做法、好典型、好经验，提炼可复制、可推广、可持续的数字化转型模式，做到</w:t>
      </w:r>
      <w:r>
        <w:rPr>
          <w:rStyle w:val="13"/>
          <w:rFonts w:hint="eastAsia" w:ascii="仿宋_GB2312" w:hAnsi="仿宋_GB2312" w:eastAsia="仿宋_GB2312" w:cs="仿宋_GB2312"/>
          <w:i w:val="0"/>
          <w:caps w:val="0"/>
          <w:color w:val="auto"/>
          <w:spacing w:val="0"/>
          <w:sz w:val="32"/>
          <w:szCs w:val="32"/>
          <w:shd w:val="clear" w:fill="FFFFFF"/>
        </w:rPr>
        <w:t>以点带面</w:t>
      </w:r>
      <w:r>
        <w:rPr>
          <w:rFonts w:hint="eastAsia" w:ascii="仿宋_GB2312" w:hAnsi="仿宋_GB2312" w:eastAsia="仿宋_GB2312" w:cs="仿宋_GB2312"/>
          <w:i w:val="0"/>
          <w:caps w:val="0"/>
          <w:color w:val="auto"/>
          <w:spacing w:val="0"/>
          <w:sz w:val="32"/>
          <w:szCs w:val="32"/>
          <w:shd w:val="clear" w:fill="FFFFFF"/>
        </w:rPr>
        <w:t>、</w:t>
      </w:r>
      <w:r>
        <w:rPr>
          <w:rStyle w:val="13"/>
          <w:rFonts w:hint="eastAsia" w:ascii="仿宋_GB2312" w:hAnsi="仿宋_GB2312" w:eastAsia="仿宋_GB2312" w:cs="仿宋_GB2312"/>
          <w:i w:val="0"/>
          <w:caps w:val="0"/>
          <w:color w:val="auto"/>
          <w:spacing w:val="0"/>
          <w:sz w:val="32"/>
          <w:szCs w:val="32"/>
          <w:shd w:val="clear" w:fill="FFFFFF"/>
        </w:rPr>
        <w:t>以面</w:t>
      </w:r>
      <w:r>
        <w:rPr>
          <w:rFonts w:hint="eastAsia" w:ascii="仿宋_GB2312" w:hAnsi="仿宋_GB2312" w:eastAsia="仿宋_GB2312" w:cs="仿宋_GB2312"/>
          <w:i w:val="0"/>
          <w:caps w:val="0"/>
          <w:color w:val="auto"/>
          <w:spacing w:val="0"/>
          <w:sz w:val="32"/>
          <w:szCs w:val="32"/>
          <w:shd w:val="clear" w:fill="FFFFFF"/>
        </w:rPr>
        <w:t>带全、</w:t>
      </w:r>
      <w:r>
        <w:rPr>
          <w:rStyle w:val="13"/>
          <w:rFonts w:hint="eastAsia" w:ascii="仿宋_GB2312" w:hAnsi="仿宋_GB2312" w:eastAsia="仿宋_GB2312" w:cs="仿宋_GB2312"/>
          <w:i w:val="0"/>
          <w:caps w:val="0"/>
          <w:color w:val="auto"/>
          <w:spacing w:val="0"/>
          <w:sz w:val="32"/>
          <w:szCs w:val="32"/>
          <w:shd w:val="clear" w:fill="FFFFFF"/>
        </w:rPr>
        <w:t>示范</w:t>
      </w:r>
      <w:r>
        <w:rPr>
          <w:rFonts w:hint="eastAsia" w:ascii="仿宋_GB2312" w:hAnsi="仿宋_GB2312" w:eastAsia="仿宋_GB2312" w:cs="仿宋_GB2312"/>
          <w:i w:val="0"/>
          <w:caps w:val="0"/>
          <w:color w:val="auto"/>
          <w:spacing w:val="0"/>
          <w:sz w:val="32"/>
          <w:szCs w:val="32"/>
          <w:shd w:val="clear" w:fill="FFFFFF"/>
        </w:rPr>
        <w:t>引领、多点开花,</w:t>
      </w:r>
      <w:r>
        <w:rPr>
          <w:rFonts w:hint="eastAsia" w:ascii="仿宋_GB2312" w:hAnsi="仿宋_GB2312" w:eastAsia="仿宋_GB2312" w:cs="仿宋_GB2312"/>
          <w:color w:val="auto"/>
          <w:sz w:val="32"/>
          <w:szCs w:val="32"/>
          <w:shd w:val="clear" w:fill="FFFFFF"/>
        </w:rPr>
        <w:t>高站位谋篇布局，高标准统筹推进</w:t>
      </w:r>
      <w:r>
        <w:rPr>
          <w:rFonts w:hint="eastAsia" w:ascii="仿宋_GB2312" w:hAnsi="仿宋_GB2312" w:eastAsia="仿宋_GB2312" w:cs="仿宋_GB2312"/>
          <w:color w:val="auto"/>
          <w:sz w:val="32"/>
          <w:szCs w:val="32"/>
          <w:shd w:val="clear" w:fill="FFFFFF"/>
          <w:lang w:eastAsia="zh-CN"/>
        </w:rPr>
        <w:t>。</w:t>
      </w:r>
    </w:p>
    <w:p>
      <w:pPr>
        <w:ind w:firstLine="640" w:firstLineChars="200"/>
        <w:jc w:val="both"/>
        <w:rPr>
          <w:rFonts w:hint="eastAsia" w:ascii="黑体" w:hAnsi="黑体" w:eastAsia="黑体" w:cs="黑体"/>
          <w:i w:val="0"/>
          <w:caps w:val="0"/>
          <w:color w:val="222222"/>
          <w:spacing w:val="0"/>
          <w:sz w:val="32"/>
          <w:szCs w:val="32"/>
          <w:lang w:val="en-US" w:eastAsia="zh-CN"/>
        </w:rPr>
      </w:pPr>
      <w:r>
        <w:rPr>
          <w:rFonts w:hint="eastAsia" w:ascii="黑体" w:hAnsi="黑体" w:eastAsia="黑体" w:cs="黑体"/>
          <w:i w:val="0"/>
          <w:caps w:val="0"/>
          <w:color w:val="222222"/>
          <w:spacing w:val="0"/>
          <w:sz w:val="32"/>
          <w:szCs w:val="32"/>
          <w:lang w:val="en-US" w:eastAsia="zh-CN"/>
        </w:rPr>
        <w:t>四、工作措施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仿宋_GB2312" w:hAnsi="仿宋_GB2312" w:eastAsia="仿宋_GB2312" w:cs="仿宋_GB2312"/>
          <w:kern w:val="0"/>
          <w:sz w:val="32"/>
          <w:szCs w:val="32"/>
          <w:lang w:val="en-US" w:eastAsia="zh-CN" w:bidi="ar"/>
        </w:rPr>
      </w:pPr>
      <w:r>
        <w:rPr>
          <w:rFonts w:hint="eastAsia" w:ascii="楷体_GB2312" w:hAnsi="楷体_GB2312" w:eastAsia="楷体_GB2312" w:cs="楷体_GB2312"/>
          <w:b w:val="0"/>
          <w:bCs w:val="0"/>
          <w:i w:val="0"/>
          <w:caps w:val="0"/>
          <w:color w:val="222222"/>
          <w:spacing w:val="0"/>
          <w:sz w:val="32"/>
          <w:szCs w:val="32"/>
          <w:lang w:val="en-US" w:eastAsia="zh-CN"/>
        </w:rPr>
        <w:t>1.</w:t>
      </w:r>
      <w:r>
        <w:rPr>
          <w:rStyle w:val="11"/>
          <w:rFonts w:hint="eastAsia" w:ascii="楷体_GB2312" w:hAnsi="楷体_GB2312" w:eastAsia="楷体_GB2312" w:cs="楷体_GB2312"/>
          <w:b w:val="0"/>
          <w:bCs w:val="0"/>
          <w:sz w:val="32"/>
          <w:szCs w:val="32"/>
        </w:rPr>
        <w:t>开展数字化评估</w:t>
      </w:r>
      <w:r>
        <w:rPr>
          <w:rStyle w:val="11"/>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工信部</w:t>
      </w:r>
      <w:r>
        <w:rPr>
          <w:rFonts w:hint="eastAsia" w:ascii="仿宋_GB2312" w:hAnsi="仿宋_GB2312" w:eastAsia="仿宋_GB2312" w:cs="仿宋_GB2312"/>
          <w:sz w:val="32"/>
          <w:szCs w:val="32"/>
        </w:rPr>
        <w:t>《中小企业数字化水平评测指标》等标准规范，</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中小企业与数字化转型服务商、第三方评估咨询机构等开展合作，评估数字化基础水平和企业经营管理现状，构建评估指标数据管理机制，支撑转型需求分析和转型成效评估。</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评估研产供销服等环节转型的潜在价值和可行性，明确数字化转型优先级，定期结合企业发展实际调整转型策略，有效确保数字化转型投入产出比。</w:t>
      </w:r>
      <w:r>
        <w:rPr>
          <w:rFonts w:hint="eastAsia" w:ascii="仿宋_GB2312" w:hAnsi="仿宋_GB2312" w:eastAsia="仿宋_GB2312" w:cs="仿宋_GB2312"/>
          <w:i w:val="0"/>
          <w:caps w:val="0"/>
          <w:color w:val="auto"/>
          <w:spacing w:val="0"/>
          <w:sz w:val="32"/>
          <w:szCs w:val="32"/>
          <w:lang w:val="en-US" w:eastAsia="zh-CN"/>
        </w:rPr>
        <w:t>力争到2025年，至少为2000家中小企业完成</w:t>
      </w:r>
      <w:r>
        <w:rPr>
          <w:rFonts w:hint="eastAsia" w:ascii="仿宋_GB2312" w:hAnsi="仿宋_GB2312" w:eastAsia="仿宋_GB2312" w:cs="仿宋_GB2312"/>
          <w:sz w:val="32"/>
          <w:szCs w:val="32"/>
        </w:rPr>
        <w:t>数字化水平评</w:t>
      </w:r>
      <w:r>
        <w:rPr>
          <w:rFonts w:hint="eastAsia" w:ascii="仿宋_GB2312" w:hAnsi="仿宋_GB2312" w:eastAsia="仿宋_GB2312" w:cs="仿宋_GB2312"/>
          <w:sz w:val="32"/>
          <w:szCs w:val="32"/>
          <w:lang w:val="en-US" w:eastAsia="zh-CN"/>
        </w:rPr>
        <w:t>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带动1000家</w:t>
      </w:r>
      <w:r>
        <w:rPr>
          <w:rFonts w:hint="eastAsia" w:ascii="仿宋_GB2312" w:hAnsi="仿宋_GB2312" w:eastAsia="仿宋_GB2312" w:cs="仿宋_GB2312"/>
          <w:i w:val="0"/>
          <w:caps w:val="0"/>
          <w:color w:val="auto"/>
          <w:spacing w:val="0"/>
          <w:sz w:val="32"/>
          <w:szCs w:val="32"/>
          <w:lang w:val="en-US" w:eastAsia="zh-CN"/>
        </w:rPr>
        <w:t>中小企业完成数字化转型。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仿宋_GB2312" w:hAnsi="仿宋_GB2312" w:eastAsia="仿宋_GB2312" w:cs="仿宋_GB2312"/>
          <w:b w:val="0"/>
          <w:color w:val="333333"/>
          <w:sz w:val="32"/>
          <w:szCs w:val="32"/>
          <w:lang w:val="en-US" w:eastAsia="zh-CN"/>
        </w:rPr>
      </w:pPr>
      <w:r>
        <w:rPr>
          <w:rFonts w:hint="eastAsia" w:ascii="楷体_GB2312" w:hAnsi="楷体_GB2312" w:eastAsia="楷体_GB2312" w:cs="楷体_GB2312"/>
          <w:sz w:val="32"/>
          <w:szCs w:val="24"/>
          <w:highlight w:val="none"/>
          <w:lang w:val="en-US" w:eastAsia="zh-CN"/>
        </w:rPr>
        <w:t>2.选树数字化转型标杆。</w:t>
      </w:r>
      <w:r>
        <w:rPr>
          <w:rFonts w:hint="eastAsia" w:ascii="仿宋_GB2312" w:hAnsi="仿宋_GB2312" w:eastAsia="仿宋_GB2312" w:cs="仿宋_GB2312"/>
          <w:b w:val="0"/>
          <w:color w:val="auto"/>
          <w:sz w:val="32"/>
          <w:szCs w:val="32"/>
          <w:lang w:val="en-US" w:eastAsia="zh-CN"/>
        </w:rPr>
        <w:t>县（市、区）</w:t>
      </w:r>
      <w:r>
        <w:rPr>
          <w:rFonts w:hint="eastAsia" w:ascii="仿宋_GB2312" w:hAnsi="仿宋_GB2312" w:eastAsia="仿宋_GB2312" w:cs="仿宋_GB2312"/>
          <w:b w:val="0"/>
          <w:color w:val="auto"/>
          <w:sz w:val="32"/>
          <w:szCs w:val="32"/>
        </w:rPr>
        <w:t>结合</w:t>
      </w:r>
      <w:r>
        <w:rPr>
          <w:rFonts w:hint="eastAsia" w:ascii="仿宋_GB2312" w:hAnsi="仿宋_GB2312" w:eastAsia="仿宋_GB2312" w:cs="仿宋_GB2312"/>
          <w:b w:val="0"/>
          <w:color w:val="auto"/>
          <w:sz w:val="32"/>
          <w:szCs w:val="32"/>
          <w:lang w:val="en-US" w:eastAsia="zh-CN"/>
        </w:rPr>
        <w:t>各自</w:t>
      </w:r>
      <w:r>
        <w:rPr>
          <w:rFonts w:hint="eastAsia" w:ascii="仿宋_GB2312" w:hAnsi="仿宋_GB2312" w:eastAsia="仿宋_GB2312" w:cs="仿宋_GB2312"/>
          <w:b w:val="0"/>
          <w:color w:val="auto"/>
          <w:sz w:val="32"/>
          <w:szCs w:val="32"/>
        </w:rPr>
        <w:t>产业</w:t>
      </w:r>
      <w:r>
        <w:rPr>
          <w:rFonts w:hint="eastAsia" w:ascii="仿宋_GB2312" w:hAnsi="仿宋_GB2312" w:eastAsia="仿宋_GB2312" w:cs="仿宋_GB2312"/>
          <w:b w:val="0"/>
          <w:color w:val="auto"/>
          <w:sz w:val="32"/>
          <w:szCs w:val="32"/>
          <w:lang w:val="en-US" w:eastAsia="zh-CN"/>
        </w:rPr>
        <w:t>结构和</w:t>
      </w:r>
      <w:r>
        <w:rPr>
          <w:rFonts w:hint="eastAsia" w:ascii="仿宋_GB2312" w:hAnsi="仿宋_GB2312" w:eastAsia="仿宋_GB2312" w:cs="仿宋_GB2312"/>
          <w:b w:val="0"/>
          <w:color w:val="auto"/>
          <w:sz w:val="32"/>
          <w:szCs w:val="32"/>
        </w:rPr>
        <w:t>特点，</w:t>
      </w:r>
      <w:r>
        <w:rPr>
          <w:rFonts w:hint="eastAsia" w:ascii="仿宋_GB2312" w:hAnsi="仿宋_GB2312" w:eastAsia="仿宋_GB2312" w:cs="仿宋_GB2312"/>
          <w:b w:val="0"/>
          <w:color w:val="auto"/>
          <w:sz w:val="32"/>
          <w:szCs w:val="32"/>
          <w:lang w:val="en-US" w:eastAsia="zh-CN"/>
        </w:rPr>
        <w:t>选定国内产业相关联、类似的数字化程度较高的企业对标对表，找差距、定目标。至少每季度召开一次数字化转型示范项目推介会，打造</w:t>
      </w:r>
      <w:r>
        <w:rPr>
          <w:rFonts w:hint="eastAsia" w:ascii="仿宋_GB2312" w:hAnsi="仿宋_GB2312" w:eastAsia="仿宋_GB2312" w:cs="仿宋_GB2312"/>
          <w:i w:val="0"/>
          <w:caps w:val="0"/>
          <w:color w:val="auto"/>
          <w:spacing w:val="0"/>
          <w:sz w:val="32"/>
          <w:szCs w:val="32"/>
          <w:lang w:val="en-US" w:eastAsia="zh-CN"/>
        </w:rPr>
        <w:t>可复制、可推广、可持续的数字化转型模式。市级</w:t>
      </w:r>
      <w:r>
        <w:rPr>
          <w:rFonts w:hint="eastAsia" w:ascii="仿宋_GB2312" w:hAnsi="仿宋_GB2312" w:eastAsia="仿宋_GB2312" w:cs="仿宋_GB2312"/>
          <w:b w:val="0"/>
          <w:color w:val="auto"/>
          <w:sz w:val="32"/>
          <w:szCs w:val="32"/>
          <w:lang w:val="en-US" w:eastAsia="zh-CN"/>
        </w:rPr>
        <w:t>每年将对数字化转型成效明显的中小企业进行评选，选树10个左右中小企业数字化转型标杆。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b w:val="0"/>
          <w:color w:val="auto"/>
          <w:sz w:val="32"/>
          <w:szCs w:val="32"/>
        </w:rPr>
      </w:pPr>
      <w:r>
        <w:rPr>
          <w:rFonts w:hint="eastAsia" w:ascii="楷体_GB2312" w:hAnsi="楷体_GB2312" w:eastAsia="楷体_GB2312" w:cs="楷体_GB2312"/>
          <w:sz w:val="32"/>
          <w:szCs w:val="24"/>
          <w:highlight w:val="none"/>
          <w:lang w:val="en-US" w:eastAsia="zh-CN"/>
        </w:rPr>
        <w:t>3.</w:t>
      </w:r>
      <w:r>
        <w:rPr>
          <w:rFonts w:hint="eastAsia" w:ascii="楷体_GB2312" w:hAnsi="楷体_GB2312" w:eastAsia="楷体_GB2312" w:cs="楷体_GB2312"/>
          <w:sz w:val="32"/>
          <w:szCs w:val="32"/>
          <w:lang w:val="en-US" w:eastAsia="zh-CN"/>
        </w:rPr>
        <w:t>开展中小企业数字化培训。</w:t>
      </w:r>
      <w:r>
        <w:rPr>
          <w:rFonts w:hint="eastAsia" w:ascii="仿宋_GB2312" w:hAnsi="仿宋_GB2312" w:eastAsia="仿宋_GB2312" w:cs="仿宋_GB2312"/>
          <w:color w:val="auto"/>
          <w:sz w:val="32"/>
          <w:szCs w:val="32"/>
          <w:lang w:val="en-US" w:eastAsia="zh-CN"/>
        </w:rPr>
        <w:t>发挥“专家服务队”“数字专员”和供应服务商作用，</w:t>
      </w:r>
      <w:r>
        <w:rPr>
          <w:rFonts w:hint="eastAsia" w:ascii="仿宋_GB2312" w:hAnsi="仿宋_GB2312" w:eastAsia="仿宋_GB2312" w:cs="仿宋_GB2312"/>
          <w:color w:val="auto"/>
          <w:sz w:val="32"/>
          <w:szCs w:val="32"/>
        </w:rPr>
        <w:t>开展中小企业数字化转型“问诊”服务，组织专家深入中小企业一线开展“入驻式”诊断服务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定期组织企业经营管理者和一线员工参加数字化培训，深化数字化转型认知，提升数字素养和技能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助力中小企业打造会管理、会操作的数字技能人才队伍</w:t>
      </w:r>
      <w:r>
        <w:rPr>
          <w:rFonts w:hint="eastAsia" w:ascii="仿宋_GB2312" w:hAnsi="仿宋_GB2312" w:eastAsia="仿宋_GB2312" w:cs="仿宋_GB2312"/>
          <w:sz w:val="32"/>
          <w:szCs w:val="32"/>
          <w:lang w:eastAsia="zh-CN"/>
        </w:rPr>
        <w:t>。</w:t>
      </w:r>
      <w:r>
        <w:rPr>
          <w:rFonts w:hint="eastAsia" w:ascii="仿宋_GB2312" w:hAnsi="微软雅黑" w:eastAsia="仿宋_GB2312" w:cs="仿宋_GB2312"/>
          <w:b w:val="0"/>
          <w:color w:val="auto"/>
          <w:sz w:val="32"/>
          <w:szCs w:val="32"/>
        </w:rPr>
        <w:t>引导企业</w:t>
      </w:r>
      <w:r>
        <w:rPr>
          <w:rFonts w:hint="eastAsia" w:ascii="仿宋_GB2312" w:hAnsi="Times New Roman" w:eastAsia="仿宋_GB2312" w:cs="仿宋_GB2312"/>
          <w:b w:val="0"/>
          <w:color w:val="auto"/>
          <w:sz w:val="32"/>
          <w:szCs w:val="32"/>
        </w:rPr>
        <w:t>实行数字化转型一把手负责制</w:t>
      </w:r>
      <w:r>
        <w:rPr>
          <w:rFonts w:hint="eastAsia" w:ascii="仿宋_GB2312" w:hAnsi="微软雅黑" w:eastAsia="仿宋_GB2312" w:cs="仿宋_GB2312"/>
          <w:b w:val="0"/>
          <w:color w:val="auto"/>
          <w:sz w:val="32"/>
          <w:szCs w:val="32"/>
        </w:rPr>
        <w:t>，</w:t>
      </w:r>
      <w:r>
        <w:rPr>
          <w:rFonts w:hint="eastAsia" w:ascii="仿宋_GB2312" w:hAnsi="仿宋_GB2312" w:eastAsia="仿宋_GB2312" w:cs="仿宋_GB2312"/>
          <w:color w:val="auto"/>
          <w:sz w:val="32"/>
          <w:szCs w:val="32"/>
        </w:rPr>
        <w:t>构建与数字化转型适配的组织架构，制定绩效管理、考核方案和激励机制等配套管理制度</w:t>
      </w:r>
      <w:r>
        <w:rPr>
          <w:rFonts w:hint="eastAsia" w:ascii="仿宋_GB2312" w:hAnsi="仿宋_GB2312" w:eastAsia="仿宋_GB2312" w:cs="仿宋_GB2312"/>
          <w:color w:val="auto"/>
          <w:sz w:val="32"/>
          <w:szCs w:val="32"/>
          <w:lang w:eastAsia="zh-CN"/>
        </w:rPr>
        <w:t>。</w:t>
      </w:r>
      <w:r>
        <w:rPr>
          <w:rFonts w:hint="eastAsia" w:eastAsia="仿宋_GB2312"/>
          <w:sz w:val="32"/>
        </w:rPr>
        <w:t>力争每年组织</w:t>
      </w:r>
      <w:r>
        <w:rPr>
          <w:rFonts w:hint="eastAsia" w:eastAsia="仿宋_GB2312"/>
          <w:sz w:val="32"/>
          <w:lang w:val="en-US" w:eastAsia="zh-CN"/>
        </w:rPr>
        <w:t>中小企业数字化转型各类服务**期以上，为**家企业提供诊断和培训。</w:t>
      </w:r>
    </w:p>
    <w:p>
      <w:pPr>
        <w:pStyle w:val="8"/>
        <w:keepNext w:val="0"/>
        <w:keepLines w:val="0"/>
        <w:widowControl/>
        <w:suppressLineNumbers w:val="0"/>
        <w:spacing w:line="585" w:lineRule="atLeast"/>
        <w:ind w:firstLine="640" w:firstLineChars="200"/>
        <w:jc w:val="left"/>
        <w:rPr>
          <w:rFonts w:hint="eastAsia" w:ascii="仿宋_GB2312" w:hAnsi="仿宋_GB2312" w:eastAsia="仿宋_GB2312" w:cs="仿宋_GB2312"/>
          <w:i w:val="0"/>
          <w:caps w:val="0"/>
          <w:color w:val="auto"/>
          <w:spacing w:val="0"/>
          <w:sz w:val="32"/>
          <w:szCs w:val="32"/>
          <w:shd w:val="clear" w:fill="FFFFFF"/>
          <w:lang w:eastAsia="zh-CN"/>
        </w:rPr>
      </w:pPr>
      <w:r>
        <w:rPr>
          <w:rStyle w:val="11"/>
          <w:rFonts w:hint="eastAsia" w:ascii="楷体_GB2312" w:hAnsi="楷体_GB2312" w:eastAsia="楷体_GB2312" w:cs="楷体_GB2312"/>
          <w:b w:val="0"/>
          <w:bCs w:val="0"/>
          <w:color w:val="auto"/>
          <w:sz w:val="32"/>
          <w:szCs w:val="32"/>
          <w:lang w:val="en-US" w:eastAsia="zh-CN"/>
        </w:rPr>
        <w:t>4.推动产业数字化和数字产业化融通发展</w:t>
      </w:r>
      <w:r>
        <w:rPr>
          <w:rStyle w:val="11"/>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rPr>
        <w:t>聚焦中小企业阶段性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个性化转型需求，匹配与现阶段需求适配的“小快轻准”产品和服务，</w:t>
      </w:r>
      <w:r>
        <w:rPr>
          <w:rFonts w:hint="eastAsia" w:ascii="仿宋_GB2312" w:hAnsi="仿宋_GB2312" w:eastAsia="仿宋_GB2312" w:cs="仿宋_GB2312"/>
          <w:color w:val="auto"/>
          <w:sz w:val="32"/>
          <w:szCs w:val="32"/>
          <w:lang w:val="en-US" w:eastAsia="zh-CN"/>
        </w:rPr>
        <w:t>引导</w:t>
      </w:r>
      <w:r>
        <w:rPr>
          <w:rStyle w:val="11"/>
          <w:rFonts w:hint="eastAsia" w:ascii="仿宋_GB2312" w:hAnsi="仿宋_GB2312" w:eastAsia="仿宋_GB2312" w:cs="仿宋_GB2312"/>
          <w:b w:val="0"/>
          <w:bCs w:val="0"/>
          <w:color w:val="auto"/>
          <w:sz w:val="32"/>
          <w:szCs w:val="32"/>
          <w:lang w:val="en-US" w:eastAsia="zh-CN"/>
        </w:rPr>
        <w:t>中小企业在</w:t>
      </w:r>
      <w:r>
        <w:rPr>
          <w:rFonts w:hint="eastAsia" w:ascii="仿宋_GB2312" w:hAnsi="仿宋_GB2312" w:eastAsia="仿宋_GB2312" w:cs="仿宋_GB2312"/>
          <w:color w:val="auto"/>
          <w:sz w:val="32"/>
          <w:szCs w:val="32"/>
        </w:rPr>
        <w:t>研发设计、生产制造、仓储物流、营销服务等业务环节数字化转型逐步深入，</w:t>
      </w:r>
      <w:r>
        <w:rPr>
          <w:rStyle w:val="11"/>
          <w:rFonts w:hint="eastAsia" w:ascii="仿宋_GB2312" w:hAnsi="仿宋_GB2312" w:eastAsia="仿宋_GB2312" w:cs="仿宋_GB2312"/>
          <w:b w:val="0"/>
          <w:bCs w:val="0"/>
          <w:color w:val="auto"/>
          <w:sz w:val="32"/>
          <w:szCs w:val="32"/>
          <w:lang w:val="en-US" w:eastAsia="zh-CN"/>
        </w:rPr>
        <w:t>助</w:t>
      </w:r>
      <w:r>
        <w:rPr>
          <w:rFonts w:hint="eastAsia" w:ascii="仿宋_GB2312" w:hAnsi="仿宋_GB2312" w:eastAsia="仿宋_GB2312" w:cs="仿宋_GB2312"/>
          <w:color w:val="auto"/>
          <w:sz w:val="32"/>
          <w:szCs w:val="32"/>
        </w:rPr>
        <w:t>推</w:t>
      </w:r>
      <w:r>
        <w:rPr>
          <w:rFonts w:hint="eastAsia" w:ascii="仿宋_GB2312" w:hAnsi="仿宋_GB2312" w:eastAsia="仿宋_GB2312" w:cs="仿宋_GB2312"/>
          <w:i w:val="0"/>
          <w:caps w:val="0"/>
          <w:color w:val="auto"/>
          <w:spacing w:val="0"/>
          <w:sz w:val="32"/>
          <w:szCs w:val="32"/>
          <w:shd w:val="clear" w:fill="FFFFFF"/>
        </w:rPr>
        <w:t>传统产业和产业链协同改造，催生新动能，</w:t>
      </w:r>
      <w:r>
        <w:rPr>
          <w:rFonts w:hint="eastAsia" w:ascii="仿宋_GB2312" w:hAnsi="仿宋_GB2312" w:eastAsia="仿宋_GB2312" w:cs="仿宋_GB2312"/>
          <w:i w:val="0"/>
          <w:caps w:val="0"/>
          <w:color w:val="auto"/>
          <w:spacing w:val="0"/>
          <w:sz w:val="32"/>
          <w:szCs w:val="32"/>
          <w:shd w:val="clear" w:fill="FFFFFF"/>
          <w:lang w:val="en-US" w:eastAsia="zh-CN"/>
        </w:rPr>
        <w:t>产业数字化</w:t>
      </w:r>
      <w:r>
        <w:rPr>
          <w:rFonts w:hint="eastAsia" w:ascii="仿宋_GB2312" w:hAnsi="仿宋_GB2312" w:eastAsia="仿宋_GB2312" w:cs="仿宋_GB2312"/>
          <w:i w:val="0"/>
          <w:caps w:val="0"/>
          <w:color w:val="auto"/>
          <w:spacing w:val="0"/>
          <w:sz w:val="32"/>
          <w:szCs w:val="32"/>
          <w:shd w:val="clear" w:fill="FFFFFF"/>
        </w:rPr>
        <w:t>发展</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widowControl/>
        <w:suppressLineNumbers w:val="0"/>
        <w:spacing w:line="585" w:lineRule="atLeast"/>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整合</w:t>
      </w:r>
      <w:r>
        <w:rPr>
          <w:rFonts w:hint="eastAsia" w:ascii="仿宋_GB2312" w:hAnsi="仿宋_GB2312" w:eastAsia="仿宋_GB2312" w:cs="仿宋_GB2312"/>
          <w:color w:val="auto"/>
          <w:sz w:val="32"/>
          <w:szCs w:val="32"/>
        </w:rPr>
        <w:t>工业互联网平台、数字化转型服务商和大型企业等各方主体，</w:t>
      </w:r>
      <w:r>
        <w:rPr>
          <w:rFonts w:hint="eastAsia" w:ascii="仿宋_GB2312" w:hAnsi="微软雅黑" w:eastAsia="仿宋_GB2312" w:cs="仿宋_GB2312"/>
          <w:b w:val="0"/>
          <w:color w:val="auto"/>
          <w:sz w:val="32"/>
          <w:szCs w:val="32"/>
        </w:rPr>
        <w:t>做大做强</w:t>
      </w:r>
      <w:r>
        <w:rPr>
          <w:rFonts w:hint="eastAsia" w:ascii="仿宋_GB2312" w:hAnsi="微软雅黑" w:eastAsia="仿宋_GB2312" w:cs="仿宋_GB2312"/>
          <w:b w:val="0"/>
          <w:color w:val="auto"/>
          <w:sz w:val="32"/>
          <w:szCs w:val="32"/>
          <w:lang w:val="en-US" w:eastAsia="zh-CN"/>
        </w:rPr>
        <w:t>全市</w:t>
      </w:r>
      <w:r>
        <w:rPr>
          <w:rFonts w:hint="eastAsia" w:ascii="仿宋_GB2312" w:hAnsi="微软雅黑" w:eastAsia="仿宋_GB2312" w:cs="仿宋_GB2312"/>
          <w:b w:val="0"/>
          <w:color w:val="auto"/>
          <w:sz w:val="32"/>
          <w:szCs w:val="32"/>
        </w:rPr>
        <w:t>工业信息工程服务机构资源池</w:t>
      </w:r>
      <w:r>
        <w:rPr>
          <w:rFonts w:hint="eastAsia" w:ascii="仿宋_GB2312" w:hAnsi="仿宋_GB2312" w:eastAsia="仿宋_GB2312" w:cs="仿宋_GB2312"/>
          <w:color w:val="auto"/>
          <w:sz w:val="32"/>
          <w:szCs w:val="32"/>
          <w:lang w:eastAsia="zh-CN"/>
        </w:rPr>
        <w:t>。</w:t>
      </w:r>
      <w:r>
        <w:rPr>
          <w:rFonts w:hint="eastAsia" w:ascii="仿宋_GB2312" w:hAnsi="微软雅黑" w:eastAsia="仿宋_GB2312" w:cs="仿宋_GB2312"/>
          <w:b w:val="0"/>
          <w:color w:val="auto"/>
          <w:sz w:val="32"/>
          <w:szCs w:val="32"/>
        </w:rPr>
        <w:t>引进培育一批技术力量强、服务效果好的服务商，推广一批优秀的产品与服务。</w:t>
      </w:r>
      <w:r>
        <w:rPr>
          <w:rFonts w:hint="eastAsia" w:ascii="仿宋_GB2312" w:hAnsi="微软雅黑" w:eastAsia="仿宋_GB2312" w:cs="仿宋_GB2312"/>
          <w:b w:val="0"/>
          <w:color w:val="auto"/>
          <w:sz w:val="32"/>
          <w:szCs w:val="32"/>
          <w:lang w:val="en-US" w:eastAsia="zh-CN"/>
        </w:rPr>
        <w:t>综合考虑</w:t>
      </w:r>
      <w:r>
        <w:rPr>
          <w:rFonts w:hint="eastAsia" w:ascii="仿宋_GB2312" w:hAnsi="微软雅黑" w:eastAsia="仿宋_GB2312" w:cs="仿宋_GB2312"/>
          <w:b w:val="0"/>
          <w:color w:val="auto"/>
          <w:sz w:val="32"/>
          <w:szCs w:val="32"/>
        </w:rPr>
        <w:t>中小企业产业集聚、行业发展和服务商分布等因素，支持</w:t>
      </w:r>
      <w:r>
        <w:rPr>
          <w:rFonts w:hint="eastAsia" w:ascii="仿宋_GB2312" w:hAnsi="微软雅黑" w:eastAsia="仿宋_GB2312" w:cs="仿宋_GB2312"/>
          <w:b w:val="0"/>
          <w:color w:val="auto"/>
          <w:sz w:val="32"/>
          <w:szCs w:val="32"/>
          <w:lang w:val="en-US" w:eastAsia="zh-CN"/>
        </w:rPr>
        <w:t>各县（市、区）</w:t>
      </w:r>
      <w:r>
        <w:rPr>
          <w:rFonts w:hint="eastAsia" w:ascii="仿宋_GB2312" w:hAnsi="微软雅黑" w:eastAsia="仿宋_GB2312" w:cs="仿宋_GB2312"/>
          <w:b w:val="0"/>
          <w:color w:val="auto"/>
          <w:sz w:val="32"/>
          <w:szCs w:val="32"/>
        </w:rPr>
        <w:t>和相关咨询服务机构，面向产业集群、园区等共同建设具备展示、服务、培训等综合功能的中小企业数字化转型能力中心，强化平台、服务商、专家、人才、金融等数字化转型公共服务</w:t>
      </w:r>
      <w:r>
        <w:rPr>
          <w:rFonts w:hint="eastAsia" w:ascii="仿宋_GB2312" w:hAnsi="微软雅黑" w:eastAsia="仿宋_GB2312" w:cs="仿宋_GB2312"/>
          <w:b w:val="0"/>
          <w:color w:val="auto"/>
          <w:sz w:val="32"/>
          <w:szCs w:val="32"/>
          <w:lang w:eastAsia="zh-CN"/>
        </w:rPr>
        <w:t>。</w:t>
      </w:r>
      <w:r>
        <w:rPr>
          <w:rFonts w:hint="eastAsia" w:ascii="仿宋_GB2312" w:hAnsi="微软雅黑" w:eastAsia="仿宋_GB2312" w:cs="仿宋_GB2312"/>
          <w:b w:val="0"/>
          <w:color w:val="auto"/>
          <w:sz w:val="31"/>
          <w:szCs w:val="31"/>
          <w:lang w:val="en-US" w:eastAsia="zh-CN"/>
        </w:rPr>
        <w:t>市级每年</w:t>
      </w:r>
      <w:r>
        <w:rPr>
          <w:rFonts w:hint="eastAsia" w:ascii="仿宋_GB2312" w:hAnsi="仿宋_GB2312" w:eastAsia="仿宋_GB2312" w:cs="仿宋_GB2312"/>
          <w:color w:val="auto"/>
          <w:sz w:val="32"/>
          <w:szCs w:val="32"/>
          <w:lang w:val="en-US" w:eastAsia="zh-CN"/>
        </w:rPr>
        <w:t>评选一批在</w:t>
      </w:r>
      <w:r>
        <w:rPr>
          <w:rFonts w:hint="eastAsia" w:ascii="仿宋_GB2312" w:hAnsi="仿宋_GB2312" w:eastAsia="仿宋_GB2312" w:cs="仿宋_GB2312"/>
          <w:color w:val="auto"/>
          <w:sz w:val="32"/>
          <w:szCs w:val="32"/>
        </w:rPr>
        <w:t>中小企业数字化转型</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val="en-US" w:eastAsia="zh-CN"/>
        </w:rPr>
        <w:t>成效明显的优秀</w:t>
      </w:r>
      <w:r>
        <w:rPr>
          <w:rFonts w:hint="eastAsia" w:ascii="仿宋_GB2312" w:hAnsi="仿宋_GB2312" w:eastAsia="仿宋_GB2312" w:cs="仿宋_GB2312"/>
          <w:color w:val="auto"/>
          <w:sz w:val="32"/>
          <w:szCs w:val="32"/>
        </w:rPr>
        <w:t>平台</w:t>
      </w:r>
      <w:r>
        <w:rPr>
          <w:rFonts w:hint="eastAsia" w:ascii="仿宋_GB2312" w:hAnsi="仿宋_GB2312" w:eastAsia="仿宋_GB2312" w:cs="仿宋_GB2312"/>
          <w:color w:val="auto"/>
          <w:sz w:val="32"/>
          <w:szCs w:val="32"/>
          <w:lang w:val="en-US" w:eastAsia="zh-CN"/>
        </w:rPr>
        <w:t>，加大支持力度。</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b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5.</w:t>
      </w:r>
      <w:r>
        <w:rPr>
          <w:rFonts w:hint="eastAsia" w:ascii="楷体_GB2312" w:hAnsi="楷体_GB2312" w:eastAsia="楷体_GB2312" w:cs="楷体_GB2312"/>
          <w:b w:val="0"/>
          <w:bCs w:val="0"/>
          <w:color w:val="auto"/>
          <w:sz w:val="32"/>
          <w:szCs w:val="32"/>
        </w:rPr>
        <w:t>以</w:t>
      </w:r>
      <w:r>
        <w:rPr>
          <w:rStyle w:val="11"/>
          <w:rFonts w:hint="eastAsia" w:ascii="楷体_GB2312" w:hAnsi="楷体_GB2312" w:eastAsia="楷体_GB2312" w:cs="楷体_GB2312"/>
          <w:b w:val="0"/>
          <w:bCs w:val="0"/>
          <w:color w:val="auto"/>
          <w:sz w:val="32"/>
          <w:szCs w:val="32"/>
        </w:rPr>
        <w:t>数字化</w:t>
      </w:r>
      <w:r>
        <w:rPr>
          <w:rStyle w:val="11"/>
          <w:rFonts w:hint="eastAsia" w:ascii="楷体_GB2312" w:hAnsi="楷体_GB2312" w:eastAsia="楷体_GB2312" w:cs="楷体_GB2312"/>
          <w:b w:val="0"/>
          <w:bCs w:val="0"/>
          <w:color w:val="auto"/>
          <w:sz w:val="32"/>
          <w:szCs w:val="32"/>
          <w:lang w:val="en-US" w:eastAsia="zh-CN"/>
        </w:rPr>
        <w:t>助推</w:t>
      </w:r>
      <w:r>
        <w:rPr>
          <w:rFonts w:hint="eastAsia" w:ascii="楷体_GB2312" w:hAnsi="楷体_GB2312" w:eastAsia="楷体_GB2312" w:cs="楷体_GB2312"/>
          <w:b w:val="0"/>
          <w:bCs w:val="0"/>
          <w:color w:val="auto"/>
          <w:sz w:val="32"/>
          <w:szCs w:val="32"/>
        </w:rPr>
        <w:t>产业链供应链</w:t>
      </w:r>
      <w:r>
        <w:rPr>
          <w:rFonts w:hint="eastAsia" w:ascii="楷体_GB2312" w:hAnsi="楷体_GB2312" w:eastAsia="楷体_GB2312" w:cs="楷体_GB2312"/>
          <w:b w:val="0"/>
          <w:bCs w:val="0"/>
          <w:color w:val="auto"/>
          <w:sz w:val="32"/>
          <w:szCs w:val="32"/>
          <w:lang w:val="en-US" w:eastAsia="zh-CN"/>
        </w:rPr>
        <w:t>提升</w:t>
      </w:r>
      <w:r>
        <w:rPr>
          <w:rStyle w:val="11"/>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b w:val="0"/>
          <w:color w:val="auto"/>
          <w:sz w:val="32"/>
          <w:szCs w:val="32"/>
        </w:rPr>
        <w:t>发挥产业链龙头企业、关键环节主导企业的引领作用，依托工业互联网平台，整合聚集各类创新资源、生产资源和服务资源，打通产业链供应链数据断点</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color w:val="auto"/>
          <w:sz w:val="32"/>
          <w:szCs w:val="32"/>
        </w:rPr>
        <w:t>应用行业龙头企业输出的行业共性解决方案，</w:t>
      </w:r>
      <w:r>
        <w:rPr>
          <w:rFonts w:hint="eastAsia" w:ascii="仿宋_GB2312" w:hAnsi="仿宋_GB2312" w:eastAsia="仿宋_GB2312" w:cs="仿宋_GB2312"/>
          <w:b w:val="0"/>
          <w:color w:val="auto"/>
          <w:sz w:val="32"/>
          <w:szCs w:val="32"/>
        </w:rPr>
        <w:t>以网络化协作弥补单个企业资源和能力不足，整合分散的制造能力，实现技术、产能、订单共享</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val="en-US" w:eastAsia="zh-CN"/>
        </w:rPr>
        <w:t>着力提升产业链供应链韧性和安全水平。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仿宋_GB2312" w:hAnsi="仿宋_GB2312" w:eastAsia="仿宋_GB2312" w:cs="仿宋_GB2312"/>
          <w:b w:val="0"/>
          <w:color w:val="auto"/>
          <w:sz w:val="32"/>
          <w:szCs w:val="32"/>
          <w:lang w:val="en-US" w:eastAsia="zh-CN"/>
        </w:rPr>
      </w:pPr>
      <w:r>
        <w:rPr>
          <w:rFonts w:hint="eastAsia" w:ascii="楷体_GB2312" w:hAnsi="楷体_GB2312" w:eastAsia="楷体_GB2312" w:cs="楷体_GB2312"/>
          <w:b w:val="0"/>
          <w:color w:val="auto"/>
          <w:sz w:val="32"/>
          <w:szCs w:val="32"/>
          <w:lang w:val="en-US" w:eastAsia="zh-CN"/>
        </w:rPr>
        <w:t>6.要素保障。</w:t>
      </w:r>
      <w:r>
        <w:rPr>
          <w:rFonts w:hint="eastAsia" w:ascii="仿宋_GB2312" w:hAnsi="仿宋_GB2312" w:eastAsia="仿宋_GB2312" w:cs="仿宋_GB2312"/>
          <w:sz w:val="32"/>
          <w:szCs w:val="32"/>
        </w:rPr>
        <w:t>鼓励金融机构研制面向中小企业数字化转型的专项产品服务，设立中小企业数字化转型专项贷款，拓宽中小企业转型融资渠道。</w:t>
      </w:r>
      <w:r>
        <w:rPr>
          <w:rFonts w:hint="eastAsia" w:ascii="仿宋_GB2312" w:hAnsi="仿宋_GB2312" w:eastAsia="仿宋_GB2312" w:cs="仿宋_GB2312"/>
          <w:sz w:val="32"/>
          <w:szCs w:val="32"/>
          <w:highlight w:val="none"/>
        </w:rPr>
        <w:t>工业互联网平台、数字化转型服务商和金融机构加强合作，开展物流、资金流和数据流等交叉验证，创新信用评估体系和风险控制机制，提升中小企业融资能力。</w:t>
      </w:r>
    </w:p>
    <w:p>
      <w:pPr>
        <w:ind w:firstLine="640" w:firstLineChars="200"/>
        <w:jc w:val="both"/>
        <w:rPr>
          <w:rFonts w:hint="eastAsia" w:ascii="黑体" w:hAnsi="黑体" w:eastAsia="黑体" w:cs="黑体"/>
          <w:i w:val="0"/>
          <w:caps w:val="0"/>
          <w:color w:val="222222"/>
          <w:spacing w:val="0"/>
          <w:sz w:val="32"/>
          <w:szCs w:val="32"/>
          <w:lang w:val="en-US" w:eastAsia="zh-CN"/>
        </w:rPr>
      </w:pPr>
      <w:r>
        <w:rPr>
          <w:rFonts w:hint="eastAsia" w:ascii="黑体" w:hAnsi="黑体" w:eastAsia="黑体" w:cs="黑体"/>
          <w:i w:val="0"/>
          <w:caps w:val="0"/>
          <w:color w:val="222222"/>
          <w:spacing w:val="0"/>
          <w:sz w:val="32"/>
          <w:szCs w:val="32"/>
          <w:lang w:val="en-US" w:eastAsia="zh-CN"/>
        </w:rPr>
        <w:t>五、保障措施</w:t>
      </w:r>
    </w:p>
    <w:p>
      <w:pPr>
        <w:ind w:firstLine="640" w:firstLineChars="200"/>
        <w:rPr>
          <w:rFonts w:hint="eastAsia" w:ascii="仿宋_GB2312" w:hAnsi="仿宋_GB2312" w:eastAsia="仿宋_GB2312" w:cs="仿宋_GB2312"/>
          <w:b w:val="0"/>
          <w:color w:val="auto"/>
          <w:sz w:val="32"/>
          <w:szCs w:val="32"/>
        </w:rPr>
      </w:pPr>
      <w:r>
        <w:rPr>
          <w:rFonts w:hint="eastAsia" w:ascii="楷体_GB2312" w:hAnsi="楷体_GB2312" w:eastAsia="楷体_GB2312" w:cs="楷体_GB2312"/>
          <w:b w:val="0"/>
          <w:bCs w:val="0"/>
          <w:color w:val="auto"/>
          <w:sz w:val="32"/>
          <w:szCs w:val="32"/>
          <w:lang w:val="en-US" w:eastAsia="zh-CN"/>
        </w:rPr>
        <w:t>1.</w:t>
      </w:r>
      <w:r>
        <w:rPr>
          <w:rFonts w:hint="eastAsia" w:ascii="楷体_GB2312" w:hAnsi="楷体_GB2312" w:eastAsia="楷体_GB2312" w:cs="楷体_GB2312"/>
          <w:b w:val="0"/>
          <w:bCs w:val="0"/>
          <w:color w:val="auto"/>
          <w:sz w:val="32"/>
          <w:szCs w:val="32"/>
        </w:rPr>
        <w:t>强化组织领导。</w:t>
      </w:r>
      <w:r>
        <w:rPr>
          <w:rFonts w:hint="eastAsia" w:ascii="仿宋_GB2312" w:hAnsi="仿宋_GB2312" w:eastAsia="仿宋_GB2312" w:cs="仿宋_GB2312"/>
          <w:b w:val="0"/>
          <w:color w:val="auto"/>
          <w:sz w:val="32"/>
          <w:szCs w:val="32"/>
          <w:lang w:val="en-US" w:eastAsia="zh-CN"/>
        </w:rPr>
        <w:t>在聊城市促进非公有制经济发展工作领导小组（以下简称领导小组）的领导下，由领导小组办公室</w:t>
      </w:r>
      <w:r>
        <w:rPr>
          <w:rFonts w:hint="eastAsia" w:ascii="仿宋_GB2312" w:hAnsi="仿宋_GB2312" w:eastAsia="仿宋_GB2312" w:cs="仿宋_GB2312"/>
          <w:b w:val="0"/>
          <w:color w:val="auto"/>
          <w:sz w:val="32"/>
          <w:szCs w:val="32"/>
        </w:rPr>
        <w:t>统筹协调全</w:t>
      </w:r>
      <w:r>
        <w:rPr>
          <w:rFonts w:hint="eastAsia" w:ascii="仿宋_GB2312" w:hAnsi="仿宋_GB2312" w:eastAsia="仿宋_GB2312" w:cs="仿宋_GB2312"/>
          <w:b w:val="0"/>
          <w:color w:val="auto"/>
          <w:sz w:val="32"/>
          <w:szCs w:val="32"/>
          <w:lang w:val="en-US" w:eastAsia="zh-CN"/>
        </w:rPr>
        <w:t>市</w:t>
      </w:r>
      <w:r>
        <w:rPr>
          <w:rFonts w:hint="eastAsia" w:ascii="仿宋_GB2312" w:hAnsi="仿宋_GB2312" w:eastAsia="仿宋_GB2312" w:cs="仿宋_GB2312"/>
          <w:b w:val="0"/>
          <w:color w:val="auto"/>
          <w:sz w:val="32"/>
          <w:szCs w:val="32"/>
        </w:rPr>
        <w:t>中小企业数字化转型工作，</w:t>
      </w:r>
      <w:r>
        <w:rPr>
          <w:rFonts w:hint="eastAsia" w:ascii="仿宋_GB2312" w:hAnsi="仿宋_GB2312" w:eastAsia="仿宋_GB2312" w:cs="仿宋_GB2312"/>
          <w:b w:val="0"/>
          <w:color w:val="333333"/>
          <w:sz w:val="32"/>
          <w:szCs w:val="32"/>
          <w:lang w:val="en-US" w:eastAsia="zh-CN"/>
        </w:rPr>
        <w:t>工</w:t>
      </w:r>
      <w:r>
        <w:rPr>
          <w:rFonts w:hint="eastAsia" w:ascii="仿宋_GB2312" w:hAnsi="仿宋_GB2312" w:eastAsia="仿宋_GB2312" w:cs="仿宋_GB2312"/>
          <w:b w:val="0"/>
          <w:color w:val="333333"/>
          <w:sz w:val="32"/>
          <w:szCs w:val="32"/>
        </w:rPr>
        <w:t>信、财政、金融</w:t>
      </w:r>
      <w:r>
        <w:rPr>
          <w:rFonts w:hint="eastAsia" w:ascii="仿宋_GB2312" w:hAnsi="仿宋_GB2312" w:eastAsia="仿宋_GB2312" w:cs="仿宋_GB2312"/>
          <w:b w:val="0"/>
          <w:color w:val="333333"/>
          <w:sz w:val="32"/>
          <w:szCs w:val="32"/>
          <w:lang w:eastAsia="zh-CN"/>
        </w:rPr>
        <w:t>、</w:t>
      </w:r>
      <w:r>
        <w:rPr>
          <w:rFonts w:hint="eastAsia" w:ascii="仿宋_GB2312" w:hAnsi="仿宋_GB2312" w:eastAsia="仿宋_GB2312" w:cs="仿宋_GB2312"/>
          <w:b w:val="0"/>
          <w:color w:val="333333"/>
          <w:sz w:val="32"/>
          <w:szCs w:val="32"/>
          <w:lang w:val="en-US" w:eastAsia="zh-CN"/>
        </w:rPr>
        <w:t>人行等</w:t>
      </w:r>
      <w:r>
        <w:rPr>
          <w:rFonts w:hint="eastAsia" w:ascii="仿宋_GB2312" w:hAnsi="仿宋_GB2312" w:eastAsia="仿宋_GB2312" w:cs="仿宋_GB2312"/>
          <w:b w:val="0"/>
          <w:color w:val="auto"/>
          <w:sz w:val="32"/>
          <w:szCs w:val="32"/>
        </w:rPr>
        <w:t>相关部门要加强协调，形成工作合力，将中小企业数字化转型纳入对各</w:t>
      </w:r>
      <w:r>
        <w:rPr>
          <w:rFonts w:hint="eastAsia" w:ascii="仿宋_GB2312" w:hAnsi="仿宋_GB2312" w:eastAsia="仿宋_GB2312" w:cs="仿宋_GB2312"/>
          <w:b w:val="0"/>
          <w:color w:val="auto"/>
          <w:sz w:val="32"/>
          <w:szCs w:val="32"/>
          <w:lang w:val="en-US" w:eastAsia="zh-CN"/>
        </w:rPr>
        <w:t>县（市、区）</w:t>
      </w:r>
      <w:r>
        <w:rPr>
          <w:rFonts w:hint="eastAsia" w:ascii="仿宋_GB2312" w:hAnsi="仿宋_GB2312" w:eastAsia="仿宋_GB2312" w:cs="仿宋_GB2312"/>
          <w:b w:val="0"/>
          <w:color w:val="auto"/>
          <w:sz w:val="32"/>
          <w:szCs w:val="32"/>
        </w:rPr>
        <w:t>制造业高质量发展的督查内容，每年进行总结评估。各</w:t>
      </w:r>
      <w:r>
        <w:rPr>
          <w:rFonts w:hint="eastAsia" w:ascii="仿宋_GB2312" w:hAnsi="仿宋_GB2312" w:eastAsia="仿宋_GB2312" w:cs="仿宋_GB2312"/>
          <w:b w:val="0"/>
          <w:color w:val="auto"/>
          <w:sz w:val="32"/>
          <w:szCs w:val="32"/>
          <w:lang w:val="en-US" w:eastAsia="zh-CN"/>
        </w:rPr>
        <w:t>县（市、区）</w:t>
      </w:r>
      <w:r>
        <w:rPr>
          <w:rFonts w:hint="eastAsia" w:ascii="仿宋_GB2312" w:hAnsi="仿宋_GB2312" w:eastAsia="仿宋_GB2312" w:cs="仿宋_GB2312"/>
          <w:b w:val="0"/>
          <w:color w:val="auto"/>
          <w:sz w:val="32"/>
          <w:szCs w:val="32"/>
        </w:rPr>
        <w:t>要加强对中小企业数字化转型工作的总结、推广和政策支持。</w:t>
      </w:r>
    </w:p>
    <w:p>
      <w:pPr>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w:t>
      </w:r>
      <w:r>
        <w:rPr>
          <w:rFonts w:hint="eastAsia" w:ascii="楷体_GB2312" w:hAnsi="楷体_GB2312" w:eastAsia="楷体_GB2312" w:cs="楷体_GB2312"/>
          <w:b w:val="0"/>
          <w:bCs w:val="0"/>
          <w:color w:val="auto"/>
          <w:sz w:val="32"/>
          <w:szCs w:val="32"/>
        </w:rPr>
        <w:t>加大政策</w:t>
      </w:r>
      <w:r>
        <w:rPr>
          <w:rFonts w:hint="eastAsia" w:ascii="楷体_GB2312" w:hAnsi="楷体_GB2312" w:eastAsia="楷体_GB2312" w:cs="楷体_GB2312"/>
          <w:b w:val="0"/>
          <w:bCs w:val="0"/>
          <w:color w:val="auto"/>
          <w:sz w:val="32"/>
          <w:szCs w:val="32"/>
          <w:lang w:val="en-US" w:eastAsia="zh-CN"/>
        </w:rPr>
        <w:t>集成</w:t>
      </w:r>
      <w:r>
        <w:rPr>
          <w:rFonts w:hint="eastAsia" w:ascii="楷体_GB2312" w:hAnsi="楷体_GB2312" w:eastAsia="楷体_GB2312" w:cs="楷体_GB2312"/>
          <w:b w:val="0"/>
          <w:bCs w:val="0"/>
          <w:color w:val="auto"/>
          <w:sz w:val="32"/>
          <w:szCs w:val="32"/>
        </w:rPr>
        <w:t>支持</w:t>
      </w:r>
      <w:r>
        <w:rPr>
          <w:rFonts w:hint="eastAsia" w:ascii="楷体_GB2312" w:hAnsi="楷体_GB2312" w:eastAsia="楷体_GB2312" w:cs="楷体_GB2312"/>
          <w:b w:val="0"/>
          <w:bCs w:val="0"/>
          <w:color w:val="auto"/>
          <w:sz w:val="32"/>
          <w:szCs w:val="32"/>
          <w:lang w:val="en-US" w:eastAsia="zh-CN"/>
        </w:rPr>
        <w:t>力度</w:t>
      </w:r>
      <w:r>
        <w:rPr>
          <w:rFonts w:hint="eastAsia" w:ascii="楷体_GB2312" w:hAnsi="楷体_GB2312" w:eastAsia="楷体_GB2312" w:cs="楷体_GB2312"/>
          <w:b w:val="0"/>
          <w:bCs w:val="0"/>
          <w:color w:val="auto"/>
          <w:sz w:val="32"/>
          <w:szCs w:val="32"/>
        </w:rPr>
        <w:t>。</w:t>
      </w:r>
      <w:r>
        <w:rPr>
          <w:rFonts w:hint="eastAsia" w:ascii="仿宋_GB2312" w:hAnsi="仿宋_GB2312" w:eastAsia="仿宋_GB2312" w:cs="仿宋_GB2312"/>
          <w:b w:val="0"/>
          <w:color w:val="auto"/>
          <w:sz w:val="32"/>
          <w:szCs w:val="32"/>
        </w:rPr>
        <w:t>按照“企业出一点、服务商让一点、政府补一点”的思路，鼓励各</w:t>
      </w:r>
      <w:r>
        <w:rPr>
          <w:rFonts w:hint="eastAsia" w:ascii="仿宋_GB2312" w:hAnsi="仿宋_GB2312" w:eastAsia="仿宋_GB2312" w:cs="仿宋_GB2312"/>
          <w:b w:val="0"/>
          <w:color w:val="auto"/>
          <w:sz w:val="32"/>
          <w:szCs w:val="32"/>
          <w:lang w:val="en-US" w:eastAsia="zh-CN"/>
        </w:rPr>
        <w:t>县（市、区）</w:t>
      </w:r>
      <w:r>
        <w:rPr>
          <w:rFonts w:hint="eastAsia" w:ascii="仿宋_GB2312" w:hAnsi="仿宋_GB2312" w:eastAsia="仿宋_GB2312" w:cs="仿宋_GB2312"/>
          <w:b w:val="0"/>
          <w:color w:val="auto"/>
          <w:sz w:val="32"/>
          <w:szCs w:val="32"/>
        </w:rPr>
        <w:t>工业与信息化、中小企业等相关专项资金加大对中小企业数字化转型支持力度。</w:t>
      </w:r>
      <w:r>
        <w:rPr>
          <w:rFonts w:hint="eastAsia" w:ascii="仿宋_GB2312" w:eastAsia="仿宋_GB2312"/>
          <w:color w:val="auto"/>
          <w:sz w:val="32"/>
          <w:szCs w:val="32"/>
          <w:highlight w:val="none"/>
          <w:lang w:val="en-US" w:eastAsia="zh-CN"/>
        </w:rPr>
        <w:t>引导</w:t>
      </w:r>
      <w:r>
        <w:rPr>
          <w:rFonts w:hint="eastAsia" w:ascii="仿宋_GB2312" w:hAnsi="仿宋_GB2312" w:eastAsia="仿宋_GB2312" w:cs="仿宋_GB2312"/>
          <w:b w:val="0"/>
          <w:color w:val="auto"/>
          <w:sz w:val="32"/>
          <w:szCs w:val="32"/>
        </w:rPr>
        <w:t>中小企业</w:t>
      </w:r>
      <w:r>
        <w:rPr>
          <w:rFonts w:hint="eastAsia" w:ascii="仿宋_GB2312" w:hAnsi="仿宋_GB2312" w:eastAsia="仿宋_GB2312" w:cs="仿宋_GB2312"/>
          <w:b w:val="0"/>
          <w:color w:val="auto"/>
          <w:sz w:val="32"/>
          <w:szCs w:val="32"/>
          <w:lang w:val="en-US" w:eastAsia="zh-CN"/>
        </w:rPr>
        <w:t>积极利用</w:t>
      </w:r>
      <w:r>
        <w:rPr>
          <w:rFonts w:hint="eastAsia" w:ascii="仿宋_GB2312" w:eastAsia="仿宋_GB2312"/>
          <w:color w:val="auto"/>
          <w:sz w:val="32"/>
          <w:szCs w:val="32"/>
          <w:highlight w:val="none"/>
        </w:rPr>
        <w:t>省级“创新服务券”</w:t>
      </w:r>
      <w:r>
        <w:rPr>
          <w:rFonts w:hint="eastAsia" w:ascii="仿宋_GB2312" w:eastAsia="仿宋_GB2312"/>
          <w:color w:val="auto"/>
          <w:sz w:val="32"/>
          <w:szCs w:val="32"/>
          <w:highlight w:val="none"/>
          <w:lang w:val="en-US" w:eastAsia="zh-CN"/>
        </w:rPr>
        <w:t>开展</w:t>
      </w:r>
      <w:r>
        <w:rPr>
          <w:rFonts w:hint="eastAsia" w:ascii="仿宋_GB2312" w:hAnsi="仿宋_GB2312" w:eastAsia="仿宋_GB2312" w:cs="仿宋_GB2312"/>
          <w:b w:val="0"/>
          <w:color w:val="auto"/>
          <w:sz w:val="32"/>
          <w:szCs w:val="32"/>
        </w:rPr>
        <w:t>中小企业</w:t>
      </w:r>
      <w:r>
        <w:rPr>
          <w:rFonts w:hint="eastAsia" w:ascii="仿宋_GB2312" w:eastAsia="仿宋_GB2312"/>
          <w:color w:val="auto"/>
          <w:sz w:val="32"/>
          <w:szCs w:val="32"/>
          <w:highlight w:val="none"/>
        </w:rPr>
        <w:t>数字化转型</w:t>
      </w:r>
      <w:r>
        <w:rPr>
          <w:rFonts w:hint="eastAsia" w:ascii="仿宋_GB2312" w:eastAsia="仿宋_GB2312"/>
          <w:color w:val="auto"/>
          <w:sz w:val="32"/>
          <w:szCs w:val="32"/>
          <w:highlight w:val="none"/>
          <w:lang w:val="en-US" w:eastAsia="zh-CN"/>
        </w:rPr>
        <w:t>工作</w:t>
      </w:r>
      <w:r>
        <w:rPr>
          <w:rFonts w:hint="eastAsia" w:ascii="仿宋_GB2312" w:eastAsia="仿宋_GB2312"/>
          <w:color w:val="auto"/>
          <w:sz w:val="32"/>
          <w:szCs w:val="32"/>
          <w:highlight w:val="none"/>
        </w:rPr>
        <w:t>。</w:t>
      </w:r>
      <w:r>
        <w:rPr>
          <w:rFonts w:hint="eastAsia" w:ascii="仿宋_GB2312" w:hAnsi="仿宋_GB2312" w:eastAsia="仿宋_GB2312" w:cs="仿宋_GB2312"/>
          <w:b w:val="0"/>
          <w:color w:val="auto"/>
          <w:sz w:val="32"/>
          <w:szCs w:val="32"/>
          <w:lang w:val="en-US" w:eastAsia="zh-CN"/>
        </w:rPr>
        <w:t>中小企业数字化转型标杆优先享受智能化技改补贴。</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中小企业数字化转型</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val="en-US" w:eastAsia="zh-CN"/>
        </w:rPr>
        <w:t>成效明显的优秀</w:t>
      </w:r>
      <w:r>
        <w:rPr>
          <w:rFonts w:hint="eastAsia" w:ascii="仿宋_GB2312" w:hAnsi="仿宋_GB2312" w:eastAsia="仿宋_GB2312" w:cs="仿宋_GB2312"/>
          <w:color w:val="auto"/>
          <w:sz w:val="32"/>
          <w:szCs w:val="32"/>
        </w:rPr>
        <w:t>平台</w:t>
      </w:r>
      <w:r>
        <w:rPr>
          <w:rFonts w:hint="eastAsia" w:ascii="仿宋_GB2312" w:hAnsi="仿宋_GB2312" w:eastAsia="仿宋_GB2312" w:cs="仿宋_GB2312"/>
          <w:color w:val="auto"/>
          <w:sz w:val="32"/>
          <w:szCs w:val="32"/>
          <w:lang w:val="en-US" w:eastAsia="zh-CN"/>
        </w:rPr>
        <w:t>在公共服务示范平台培育工作中给予政策倾斜。</w:t>
      </w:r>
    </w:p>
    <w:p>
      <w:pPr>
        <w:ind w:firstLine="640" w:firstLineChars="200"/>
        <w:rPr>
          <w:rFonts w:hint="eastAsia" w:ascii="仿宋_GB2312" w:hAnsi="仿宋_GB2312" w:eastAsia="仿宋_GB2312" w:cs="仿宋_GB2312"/>
          <w:b w:val="0"/>
          <w:color w:val="auto"/>
          <w:sz w:val="32"/>
          <w:szCs w:val="32"/>
        </w:rPr>
      </w:pPr>
      <w:r>
        <w:rPr>
          <w:rFonts w:hint="eastAsia" w:ascii="楷体_GB2312" w:hAnsi="楷体_GB2312" w:eastAsia="楷体_GB2312" w:cs="楷体_GB2312"/>
          <w:b w:val="0"/>
          <w:bCs w:val="0"/>
          <w:color w:val="auto"/>
          <w:sz w:val="32"/>
          <w:szCs w:val="32"/>
          <w:lang w:val="en-US" w:eastAsia="zh-CN"/>
        </w:rPr>
        <w:t>3.</w:t>
      </w:r>
      <w:r>
        <w:rPr>
          <w:rFonts w:hint="eastAsia" w:ascii="楷体_GB2312" w:hAnsi="楷体_GB2312" w:eastAsia="楷体_GB2312" w:cs="楷体_GB2312"/>
          <w:b w:val="0"/>
          <w:bCs w:val="0"/>
          <w:color w:val="auto"/>
          <w:sz w:val="32"/>
          <w:szCs w:val="32"/>
        </w:rPr>
        <w:t>加强示范推广。</w:t>
      </w:r>
      <w:r>
        <w:rPr>
          <w:rFonts w:hint="eastAsia" w:ascii="仿宋_GB2312" w:hAnsi="仿宋_GB2312" w:eastAsia="仿宋_GB2312" w:cs="仿宋_GB2312"/>
          <w:i w:val="0"/>
          <w:caps w:val="0"/>
          <w:color w:val="auto"/>
          <w:spacing w:val="0"/>
          <w:sz w:val="32"/>
          <w:szCs w:val="32"/>
          <w:shd w:val="clear" w:fill="FFFFFF"/>
        </w:rPr>
        <w:t>充分利用报刊、电视台、互联网等媒体</w:t>
      </w:r>
      <w:r>
        <w:rPr>
          <w:rFonts w:hint="eastAsia" w:ascii="仿宋_GB2312" w:hAnsi="仿宋_GB2312" w:eastAsia="仿宋_GB2312" w:cs="仿宋_GB2312"/>
          <w:b w:val="0"/>
          <w:color w:val="auto"/>
          <w:sz w:val="32"/>
          <w:szCs w:val="32"/>
          <w:lang w:val="en-US" w:eastAsia="zh-CN"/>
        </w:rPr>
        <w:t>加大</w:t>
      </w:r>
      <w:r>
        <w:rPr>
          <w:rFonts w:hint="eastAsia" w:ascii="仿宋_GB2312" w:hAnsi="仿宋_GB2312" w:eastAsia="仿宋_GB2312" w:cs="仿宋_GB2312"/>
          <w:b w:val="0"/>
          <w:bCs w:val="0"/>
          <w:color w:val="auto"/>
          <w:sz w:val="32"/>
          <w:szCs w:val="32"/>
          <w:lang w:val="en-US" w:eastAsia="zh-CN"/>
        </w:rPr>
        <w:t>对</w:t>
      </w:r>
      <w:r>
        <w:rPr>
          <w:rFonts w:hint="eastAsia" w:ascii="仿宋_GB2312" w:hAnsi="仿宋_GB2312" w:eastAsia="仿宋_GB2312" w:cs="仿宋_GB2312"/>
          <w:b w:val="0"/>
          <w:color w:val="auto"/>
          <w:sz w:val="32"/>
          <w:szCs w:val="32"/>
        </w:rPr>
        <w:t>各</w:t>
      </w:r>
      <w:r>
        <w:rPr>
          <w:rFonts w:hint="eastAsia" w:ascii="仿宋_GB2312" w:hAnsi="仿宋_GB2312" w:eastAsia="仿宋_GB2312" w:cs="仿宋_GB2312"/>
          <w:b w:val="0"/>
          <w:color w:val="auto"/>
          <w:sz w:val="32"/>
          <w:szCs w:val="32"/>
          <w:lang w:val="en-US" w:eastAsia="zh-CN"/>
        </w:rPr>
        <w:t>县（市、区）培育的中小企业数字化转型标杆的宣传力度，</w:t>
      </w:r>
      <w:r>
        <w:rPr>
          <w:rFonts w:hint="eastAsia" w:ascii="仿宋_GB2312" w:hAnsi="仿宋_GB2312" w:eastAsia="仿宋_GB2312" w:cs="仿宋_GB2312"/>
          <w:b w:val="0"/>
          <w:color w:val="auto"/>
          <w:sz w:val="32"/>
          <w:szCs w:val="32"/>
        </w:rPr>
        <w:t>适时召开相关工作交流会议，及时总结经验，在相关行业、企业移植推广。</w:t>
      </w:r>
    </w:p>
    <w:p>
      <w:pPr>
        <w:pStyle w:val="8"/>
        <w:keepNext w:val="0"/>
        <w:keepLines w:val="0"/>
        <w:widowControl/>
        <w:suppressLineNumbers w:val="0"/>
        <w:spacing w:line="585" w:lineRule="atLeast"/>
        <w:ind w:firstLine="640" w:firstLineChars="200"/>
        <w:jc w:val="left"/>
        <w:rPr>
          <w:rFonts w:hint="eastAsia" w:ascii="仿宋_GB2312" w:hAnsi="仿宋_GB2312" w:eastAsia="仿宋_GB2312" w:cs="仿宋_GB2312"/>
          <w:color w:val="auto"/>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textAlignment w:val="auto"/>
        <w:rPr>
          <w:rFonts w:hint="default" w:ascii="仿宋_GB2312" w:hAnsi="仿宋_GB2312" w:eastAsia="楷体_GB2312" w:cs="仿宋_GB2312"/>
          <w:sz w:val="30"/>
          <w:szCs w:val="30"/>
          <w:lang w:val="en-US" w:eastAsia="zh-CN"/>
        </w:rPr>
      </w:pPr>
    </w:p>
    <w:p>
      <w:pPr>
        <w:ind w:firstLine="640" w:firstLineChars="200"/>
        <w:jc w:val="both"/>
        <w:rPr>
          <w:rFonts w:hint="default" w:ascii="黑体" w:hAnsi="黑体" w:eastAsia="黑体" w:cs="黑体"/>
          <w:i w:val="0"/>
          <w:caps w:val="0"/>
          <w:color w:val="222222"/>
          <w:spacing w:val="0"/>
          <w:sz w:val="32"/>
          <w:szCs w:val="32"/>
          <w:lang w:val="en-US" w:eastAsia="zh-CN"/>
        </w:rPr>
      </w:pPr>
    </w:p>
    <w:p>
      <w:pPr>
        <w:ind w:firstLine="640" w:firstLineChars="200"/>
        <w:jc w:val="both"/>
        <w:rPr>
          <w:rFonts w:hint="eastAsia" w:ascii="黑体" w:hAnsi="黑体" w:eastAsia="黑体" w:cs="黑体"/>
          <w:i w:val="0"/>
          <w:caps w:val="0"/>
          <w:color w:val="222222"/>
          <w:spacing w:val="0"/>
          <w:sz w:val="32"/>
          <w:szCs w:val="32"/>
          <w:lang w:val="en-US" w:eastAsia="zh-CN"/>
        </w:rPr>
      </w:pPr>
    </w:p>
    <w:p>
      <w:pPr>
        <w:jc w:val="both"/>
        <w:rPr>
          <w:rFonts w:hint="eastAsia" w:ascii="方正小标宋简体" w:hAnsi="方正小标宋简体" w:eastAsia="方正小标宋简体" w:cs="方正小标宋简体"/>
          <w:sz w:val="44"/>
          <w:szCs w:val="4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ZWQ1MTgxNDk5NzZlNzM1Njg1ZWM3ZWE5ZDEyN2EifQ=="/>
  </w:docVars>
  <w:rsids>
    <w:rsidRoot w:val="00000000"/>
    <w:rsid w:val="00646FE7"/>
    <w:rsid w:val="01892DD0"/>
    <w:rsid w:val="02034780"/>
    <w:rsid w:val="02854159"/>
    <w:rsid w:val="02A032DF"/>
    <w:rsid w:val="034C774C"/>
    <w:rsid w:val="03CF270D"/>
    <w:rsid w:val="04CD7242"/>
    <w:rsid w:val="04DB0BAE"/>
    <w:rsid w:val="053A5AB4"/>
    <w:rsid w:val="053D2C05"/>
    <w:rsid w:val="054E0B53"/>
    <w:rsid w:val="06110A25"/>
    <w:rsid w:val="06A25F78"/>
    <w:rsid w:val="07420047"/>
    <w:rsid w:val="07B509F1"/>
    <w:rsid w:val="08550926"/>
    <w:rsid w:val="08953BB8"/>
    <w:rsid w:val="095663E4"/>
    <w:rsid w:val="09F50E58"/>
    <w:rsid w:val="0A1648AB"/>
    <w:rsid w:val="0C5118FC"/>
    <w:rsid w:val="0CF31FE6"/>
    <w:rsid w:val="0E8041FA"/>
    <w:rsid w:val="0E923114"/>
    <w:rsid w:val="0ED06489"/>
    <w:rsid w:val="0EE97F9A"/>
    <w:rsid w:val="0FE10F3B"/>
    <w:rsid w:val="10484155"/>
    <w:rsid w:val="106C5946"/>
    <w:rsid w:val="1103515A"/>
    <w:rsid w:val="11906356"/>
    <w:rsid w:val="11A05E76"/>
    <w:rsid w:val="11C13247"/>
    <w:rsid w:val="12B45419"/>
    <w:rsid w:val="1304612A"/>
    <w:rsid w:val="14E23A8E"/>
    <w:rsid w:val="15E2225E"/>
    <w:rsid w:val="169C7EF7"/>
    <w:rsid w:val="172D5824"/>
    <w:rsid w:val="181F1533"/>
    <w:rsid w:val="18CC3DF0"/>
    <w:rsid w:val="1A2878FC"/>
    <w:rsid w:val="1ABC702E"/>
    <w:rsid w:val="1B053132"/>
    <w:rsid w:val="1BB67598"/>
    <w:rsid w:val="1E4C267C"/>
    <w:rsid w:val="1E5F3548"/>
    <w:rsid w:val="1EF658B6"/>
    <w:rsid w:val="1F4740DF"/>
    <w:rsid w:val="1F8B57F1"/>
    <w:rsid w:val="206A49D3"/>
    <w:rsid w:val="20D179ED"/>
    <w:rsid w:val="2170770E"/>
    <w:rsid w:val="221C3E0B"/>
    <w:rsid w:val="223936A1"/>
    <w:rsid w:val="22BC60BD"/>
    <w:rsid w:val="233E2A47"/>
    <w:rsid w:val="24DC52EB"/>
    <w:rsid w:val="24F34B76"/>
    <w:rsid w:val="25E41166"/>
    <w:rsid w:val="25EC5774"/>
    <w:rsid w:val="26E00E46"/>
    <w:rsid w:val="27A76432"/>
    <w:rsid w:val="28243AF0"/>
    <w:rsid w:val="2A354C46"/>
    <w:rsid w:val="2AB449E0"/>
    <w:rsid w:val="2B9A1B2A"/>
    <w:rsid w:val="2C4C355A"/>
    <w:rsid w:val="2CD73F2D"/>
    <w:rsid w:val="2D403EA4"/>
    <w:rsid w:val="2E4D3758"/>
    <w:rsid w:val="2F160620"/>
    <w:rsid w:val="2F2E64FA"/>
    <w:rsid w:val="2F4B0279"/>
    <w:rsid w:val="2F565511"/>
    <w:rsid w:val="3033716A"/>
    <w:rsid w:val="30F53F38"/>
    <w:rsid w:val="31BA1F0B"/>
    <w:rsid w:val="32AE0FB7"/>
    <w:rsid w:val="32DD648C"/>
    <w:rsid w:val="3383304E"/>
    <w:rsid w:val="33E662BB"/>
    <w:rsid w:val="34216C5A"/>
    <w:rsid w:val="34812DA2"/>
    <w:rsid w:val="34A016C4"/>
    <w:rsid w:val="35A914F4"/>
    <w:rsid w:val="361350D6"/>
    <w:rsid w:val="37C77B81"/>
    <w:rsid w:val="386401BD"/>
    <w:rsid w:val="38C30687"/>
    <w:rsid w:val="38C57F6F"/>
    <w:rsid w:val="38FA68F6"/>
    <w:rsid w:val="399B1117"/>
    <w:rsid w:val="3A8F50F2"/>
    <w:rsid w:val="3AAA2AFF"/>
    <w:rsid w:val="3AAC08F7"/>
    <w:rsid w:val="3AD96C8F"/>
    <w:rsid w:val="3B1837EC"/>
    <w:rsid w:val="3B207EC9"/>
    <w:rsid w:val="3B8335FA"/>
    <w:rsid w:val="3C1022E9"/>
    <w:rsid w:val="3C232BFE"/>
    <w:rsid w:val="3D0C7A80"/>
    <w:rsid w:val="3D3F5210"/>
    <w:rsid w:val="3D6E078A"/>
    <w:rsid w:val="3D8F6F93"/>
    <w:rsid w:val="3DBA0525"/>
    <w:rsid w:val="3DC85938"/>
    <w:rsid w:val="3E2554E4"/>
    <w:rsid w:val="3E8668F8"/>
    <w:rsid w:val="3E9B6237"/>
    <w:rsid w:val="3F1624A7"/>
    <w:rsid w:val="3F1E14DB"/>
    <w:rsid w:val="3FA53F80"/>
    <w:rsid w:val="402B4440"/>
    <w:rsid w:val="402D0FD0"/>
    <w:rsid w:val="405801BB"/>
    <w:rsid w:val="415E7CEA"/>
    <w:rsid w:val="419225D0"/>
    <w:rsid w:val="42362551"/>
    <w:rsid w:val="42667AFA"/>
    <w:rsid w:val="429749E5"/>
    <w:rsid w:val="43F707E9"/>
    <w:rsid w:val="45617B3C"/>
    <w:rsid w:val="45DD35F1"/>
    <w:rsid w:val="46EE2F58"/>
    <w:rsid w:val="470E5F54"/>
    <w:rsid w:val="48331797"/>
    <w:rsid w:val="486C13DD"/>
    <w:rsid w:val="48DB29CE"/>
    <w:rsid w:val="494118E9"/>
    <w:rsid w:val="4A2278F4"/>
    <w:rsid w:val="4B9E64B3"/>
    <w:rsid w:val="4CE736B0"/>
    <w:rsid w:val="4D366A44"/>
    <w:rsid w:val="4D384608"/>
    <w:rsid w:val="4D742C0C"/>
    <w:rsid w:val="4D790B0A"/>
    <w:rsid w:val="4DC16DA9"/>
    <w:rsid w:val="4FB14278"/>
    <w:rsid w:val="51686CD6"/>
    <w:rsid w:val="51EB746B"/>
    <w:rsid w:val="531A40DD"/>
    <w:rsid w:val="550A076F"/>
    <w:rsid w:val="553F0A6C"/>
    <w:rsid w:val="562C6FDE"/>
    <w:rsid w:val="56367189"/>
    <w:rsid w:val="569B5AFB"/>
    <w:rsid w:val="58BD3168"/>
    <w:rsid w:val="5A4D5EF9"/>
    <w:rsid w:val="5AD20F14"/>
    <w:rsid w:val="5B8A0333"/>
    <w:rsid w:val="5C754F79"/>
    <w:rsid w:val="5D3571EC"/>
    <w:rsid w:val="5EAF2FB9"/>
    <w:rsid w:val="5FA67424"/>
    <w:rsid w:val="60953414"/>
    <w:rsid w:val="60B70F07"/>
    <w:rsid w:val="61796369"/>
    <w:rsid w:val="623840FD"/>
    <w:rsid w:val="63441539"/>
    <w:rsid w:val="6356346C"/>
    <w:rsid w:val="63BC6A15"/>
    <w:rsid w:val="642B5740"/>
    <w:rsid w:val="651D5A2D"/>
    <w:rsid w:val="654C44EF"/>
    <w:rsid w:val="65B5372D"/>
    <w:rsid w:val="662E4126"/>
    <w:rsid w:val="67A337F4"/>
    <w:rsid w:val="67B301EC"/>
    <w:rsid w:val="685A42A3"/>
    <w:rsid w:val="69DA2798"/>
    <w:rsid w:val="6A156306"/>
    <w:rsid w:val="6A525258"/>
    <w:rsid w:val="6A5C2F92"/>
    <w:rsid w:val="6BF05D38"/>
    <w:rsid w:val="6C434519"/>
    <w:rsid w:val="6C75424D"/>
    <w:rsid w:val="6D256B98"/>
    <w:rsid w:val="6D7C12F1"/>
    <w:rsid w:val="6DAF7574"/>
    <w:rsid w:val="6DCA6544"/>
    <w:rsid w:val="6E7E5AFE"/>
    <w:rsid w:val="6E916B50"/>
    <w:rsid w:val="6EAB32D1"/>
    <w:rsid w:val="6EF80658"/>
    <w:rsid w:val="6F4B79BA"/>
    <w:rsid w:val="6F9557F0"/>
    <w:rsid w:val="6FF92D0A"/>
    <w:rsid w:val="706577C7"/>
    <w:rsid w:val="70D65F60"/>
    <w:rsid w:val="71BD5635"/>
    <w:rsid w:val="73E21CF3"/>
    <w:rsid w:val="7572660B"/>
    <w:rsid w:val="765A7060"/>
    <w:rsid w:val="769312AA"/>
    <w:rsid w:val="76C27597"/>
    <w:rsid w:val="77551931"/>
    <w:rsid w:val="78957B62"/>
    <w:rsid w:val="78B44C4F"/>
    <w:rsid w:val="78C67872"/>
    <w:rsid w:val="78E32E18"/>
    <w:rsid w:val="7A7E4EEA"/>
    <w:rsid w:val="7B541A2A"/>
    <w:rsid w:val="7C0E2813"/>
    <w:rsid w:val="7C593E62"/>
    <w:rsid w:val="7CB46CD3"/>
    <w:rsid w:val="7CF1343C"/>
    <w:rsid w:val="7D253515"/>
    <w:rsid w:val="7D3657BB"/>
    <w:rsid w:val="7D4C6E96"/>
    <w:rsid w:val="7D884F6E"/>
    <w:rsid w:val="7DD05ADC"/>
    <w:rsid w:val="7F216D57"/>
    <w:rsid w:val="7F307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before="4"/>
      <w:ind w:left="111"/>
    </w:pPr>
    <w:rPr>
      <w:rFonts w:ascii="仿宋" w:hAnsi="仿宋" w:eastAsia="仿宋_GB2312" w:cs="仿宋"/>
      <w:kern w:val="0"/>
      <w:sz w:val="32"/>
      <w:szCs w:val="32"/>
      <w:lang w:val="zh-CN"/>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Emphasis"/>
    <w:basedOn w:val="10"/>
    <w:qFormat/>
    <w:uiPriority w:val="0"/>
    <w:rPr>
      <w:i/>
    </w:rPr>
  </w:style>
  <w:style w:type="character" w:styleId="14">
    <w:name w:val="Hyperlink"/>
    <w:basedOn w:val="10"/>
    <w:qFormat/>
    <w:uiPriority w:val="0"/>
    <w:rPr>
      <w:color w:val="333333"/>
      <w:u w:val="none"/>
    </w:rPr>
  </w:style>
  <w:style w:type="character" w:customStyle="1" w:styleId="15">
    <w:name w:val="on"/>
    <w:basedOn w:val="10"/>
    <w:qFormat/>
    <w:uiPriority w:val="0"/>
    <w:rPr>
      <w:shd w:val="clear" w:fill="F45C5C"/>
    </w:rPr>
  </w:style>
  <w:style w:type="character" w:customStyle="1" w:styleId="16">
    <w:name w:val="on1"/>
    <w:basedOn w:val="10"/>
    <w:qFormat/>
    <w:uiPriority w:val="0"/>
    <w:rPr>
      <w:shd w:val="clear" w:fill="F45C5C"/>
    </w:rPr>
  </w:style>
  <w:style w:type="character" w:customStyle="1" w:styleId="17">
    <w:name w:val="on2"/>
    <w:basedOn w:val="10"/>
    <w:qFormat/>
    <w:uiPriority w:val="0"/>
    <w:rPr>
      <w:color w:val="4AC3B1"/>
    </w:rPr>
  </w:style>
  <w:style w:type="character" w:customStyle="1" w:styleId="18">
    <w:name w:val="hover16"/>
    <w:basedOn w:val="10"/>
    <w:qFormat/>
    <w:uiPriority w:val="0"/>
  </w:style>
  <w:style w:type="character" w:customStyle="1" w:styleId="19">
    <w:name w:val="hover17"/>
    <w:basedOn w:val="10"/>
    <w:qFormat/>
    <w:uiPriority w:val="0"/>
  </w:style>
  <w:style w:type="character" w:customStyle="1" w:styleId="20">
    <w:name w:val="hover18"/>
    <w:basedOn w:val="10"/>
    <w:qFormat/>
    <w:uiPriority w:val="0"/>
  </w:style>
  <w:style w:type="character" w:customStyle="1" w:styleId="21">
    <w:name w:val="cur8"/>
    <w:basedOn w:val="10"/>
    <w:qFormat/>
    <w:uiPriority w:val="0"/>
  </w:style>
  <w:style w:type="character" w:customStyle="1" w:styleId="22">
    <w:name w:val="cur9"/>
    <w:basedOn w:val="10"/>
    <w:qFormat/>
    <w:uiPriority w:val="0"/>
  </w:style>
  <w:style w:type="character" w:customStyle="1" w:styleId="23">
    <w:name w:val="cur10"/>
    <w:basedOn w:val="10"/>
    <w:qFormat/>
    <w:uiPriority w:val="0"/>
  </w:style>
  <w:style w:type="character" w:customStyle="1" w:styleId="24">
    <w:name w:val="cur11"/>
    <w:basedOn w:val="10"/>
    <w:qFormat/>
    <w:uiPriority w:val="0"/>
  </w:style>
  <w:style w:type="character" w:customStyle="1" w:styleId="25">
    <w:name w:val="first-child1"/>
    <w:basedOn w:val="10"/>
    <w:qFormat/>
    <w:uiPriority w:val="0"/>
  </w:style>
  <w:style w:type="character" w:customStyle="1" w:styleId="26">
    <w:name w:val="bsharetext"/>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2022-11-15T01:13:00Z</dcterms:created>
  <dc:creator>lenovo</dc:creator>
  <cp:lastModifiedBy>杜炳辰</cp:lastModifiedBy>
  <cp:lastPrinted>2023-02-21T09:10:00Z</cp:lastPrinted>
  <dcterms:modified xsi:type="dcterms:W3CDTF">2023-03-08T03:21:28Z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80B3A0AEFA5440E6B2898E6A927110C0</vt:lpwstr>
  </property>
</Properties>
</file>