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聊城市特色产业集群转型升级工作方案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（2023-2025年）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（征求意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见稿）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为培育壮大特色产业，提升产业专业化、特色化、集群化发展水平，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依据《工业和信息化部促进中小企业特色产业集群发展暂行办法》《工业和信息化厅山东省特色产业集群管理办法》，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制定本方案。本方案所称特色产业集群（以下简称集群）是定位在县级区划范围内，以新发展理念为引领，主导产业聚焦、优势特色突出、资源要素汇聚、协作网络高效、治理服务体系完善，具有较强核心竞争力的县域特色产业集群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/>
          <w:b w:val="0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深入贯彻党的二十大精神，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立足新发展阶段，完整、准确、全面贯彻新发展理念，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以推动集群转型升级为主题，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以增强中小企业核心竞争力、激发县域经济活力、提升产业链供应链韧性和关键环节配套能力为目标，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化、绿色化、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国际化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为引领，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坚持政府引导和市场主导相结合、培优企业与做强产业相结合、动态管理和精准服务相结合，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加速推进现代化产业体系建设，加快实现产业兴市、制造强市发展目标。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集群主导产业优势持续放大，集群创新活力加速凸显，集群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化、绿色化、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国际化水平持续提升，集群治理和服务能力持续完善。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到2025年，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力争市级特色产业集群达到30个，省级特色产业集群达到10个，</w:t>
      </w:r>
      <w:r>
        <w:rPr>
          <w:rFonts w:hint="eastAsia" w:ascii="仿宋" w:hAnsi="仿宋" w:eastAsia="仿宋"/>
          <w:b w:val="0"/>
          <w:sz w:val="32"/>
          <w:szCs w:val="32"/>
        </w:rPr>
        <w:t>国家级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中小企业</w:t>
      </w:r>
      <w:r>
        <w:rPr>
          <w:rFonts w:hint="eastAsia" w:ascii="仿宋" w:hAnsi="仿宋" w:eastAsia="仿宋"/>
          <w:b w:val="0"/>
          <w:sz w:val="32"/>
          <w:szCs w:val="32"/>
        </w:rPr>
        <w:t>特色产业集群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达到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2"/>
          <w:szCs w:val="32"/>
        </w:rPr>
        <w:t>个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三、主要任务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15"/>
          <w:sz w:val="32"/>
          <w:szCs w:val="32"/>
          <w:shd w:val="clear" w:fill="FFFFFF"/>
        </w:rPr>
        <w:t>（一）提升集群主导产业优势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对标国内先进集群，立足主导产业确立集群特色化定位与区域特色产业品牌定位，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</w:rPr>
        <w:t>有针对性地固链强链补链延链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重塑集群核心竞争力，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促进集群转型升级。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</w:rPr>
        <w:t>畅通集群协作网络，增强专业化配套能力，发挥龙头企业带头作用，促进大中小企业协同发展，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综合实力显著增强，产业能级稳步提升。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1.轴承产业集群。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东昌府区、临清市、东阿县、冠县聚焦轴承、轴承锻造、保持器、钢球特色产业集群，建立产业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链上下游产供销一体化协同协作机制，推动产品结构向高端轴承发展，引导企业开发新型专用轴承、定制轴承，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做强做精细分市场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2.有色金属产业集群。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茌平区、阳谷县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聚焦铝及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铝深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加工、铜及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铜深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加工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特色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集群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，发展高性能金属合金、高精度铜（铝）箔、高强高导线材、高纯氧化铝等金属新材料，提升精深加工比重，打造世界级铜铝精深加工产业基地。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</w:rPr>
        <w:t>黑色金属产业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集群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冠县、开发区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钢板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、钢管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特色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集群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，不断推动产品多样化，提高新产品、高附加值产品比重，打造全国知名的高端钢管、精品板材生产加工基地。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</w:rPr>
        <w:t>绿色化工产业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集群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莘县、阳谷县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绿色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化工、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塑料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化工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特色产业集群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，做强做优化工园区，大幅提升高端、绿色、安全发展水平，打造全国重要的现代化基础化工产业基地和精细化工示范基地。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</w:rPr>
        <w:t>纺织服装产业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集群。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临清市、冠县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纺织特色产业集群，完善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纺纱、织布、印染、服装于一体的纺织服装产业链条，发展中高支纱线、高档面料、产业用纺织品、高档家纺及精品服装。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6.绿色食品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</w:rPr>
        <w:t>加工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产业集群。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莘县、阳谷县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绿色食品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加工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特色产业集群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，推动蔬菜精加工和肉鸡肉鸭养殖加工，培育发展预制菜产业，打造全国绿色优质农产品供应基地。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7.木材加工产业集群。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茌平区、莘县聚焦木材加工特色产业集群，推动产品结构向绿色环保家居产业发展，引导企业重视品牌建设，开发大规模个性化定制，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用" 差异化共存 " 代替 " 同质化竞争 "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8.阿胶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集群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东阿县聚焦阿胶特色产业集群，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以行业龙头企业为引领，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推动阿胶全产业链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“产业+配套、平台+生态、技术+赋能”的集群发展格局。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0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</w:rPr>
        <w:t>（二）激发集群创新活力。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持续推进“育苗扶壮”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热带雨林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培育计划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，鼓励和引导集群企业，尤其是龙头骨干企业走“专精特新”发展之路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</w:rPr>
        <w:t>构建多层次集群创新平台，集成和开放创新基础设施和服务资源，推动集群与大型企业、高等院校和科研院所建立稳定的创新合作机制，开展主导产业大中小企业融通创新、共性技术产学研协同创新，强化知识产权运用和标准研制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0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15"/>
          <w:sz w:val="32"/>
          <w:szCs w:val="32"/>
          <w:shd w:val="clear" w:fill="FFFFFF"/>
        </w:rPr>
        <w:t>（三）推进集群数字化升级。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加快集群新型信息基础设施建设，建立健全工业互联网安全保障体系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探索开发集中管理、科学治理、资源共享的“产业云链”数字化管理与服务平台，提升集群数字化治理水平。鼓励集群龙头企业研发推广面向本行业的“小快轻准”型数字化转型升级解决方案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推动集群中小企业数字化智能化发展，打造中小企业数字化转型标杆。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15"/>
          <w:sz w:val="32"/>
          <w:szCs w:val="32"/>
          <w:shd w:val="clear" w:fill="FFFFFF"/>
        </w:rPr>
        <w:t>（四）加快集群绿色低碳转型。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</w:rPr>
        <w:t>优化集群能源消费结构，推广清洁能源应用，强化资源综合利用与污染防治，完善绿色制造体系。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引入碳评估、碳资产管理等专业化服务机构，研究符合政策导向、地方实际、集群发展阶段的差异化、特色化绿色低碳转型方案，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助推企业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在绿色化转型中享受到政策福利、发展红利。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0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15"/>
          <w:sz w:val="32"/>
          <w:szCs w:val="32"/>
          <w:shd w:val="clear" w:fill="FFFFFF"/>
        </w:rPr>
        <w:t>（五）深化集群开放合作。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塑造集群品牌，构建由特色集群、特色园区、特色工厂、特色产品、特色品牌组成的集群品牌矩阵，将创新发展、协调发展、绿色发展、开放发展、共享发展新发展理念融入集群建设。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</w:rPr>
        <w:t>支持集群积极参与“一带一路”建设，深化人才、技术、资本、资源等合作，以集群为单位参与国际合作机制和交流活动。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0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</w:rPr>
        <w:t>提升集群治理和服务能力。</w:t>
      </w:r>
      <w:r>
        <w:rPr>
          <w:rFonts w:hint="eastAsia" w:ascii="仿宋" w:hAnsi="仿宋" w:eastAsia="仿宋"/>
          <w:b w:val="0"/>
          <w:sz w:val="32"/>
          <w:szCs w:val="32"/>
        </w:rPr>
        <w:t>积极探索集群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科学</w:t>
      </w:r>
      <w:r>
        <w:rPr>
          <w:rFonts w:hint="eastAsia" w:ascii="仿宋" w:hAnsi="仿宋" w:eastAsia="仿宋"/>
          <w:b w:val="0"/>
          <w:sz w:val="32"/>
          <w:szCs w:val="32"/>
        </w:rPr>
        <w:t>治理方法，拟定治理标准，构建治理体系，创新治理成果，形成具有聊城特色、全国领先的集群现代化治理新模式。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</w:rPr>
        <w:t>加强集群公共服务体系建设，</w:t>
      </w:r>
      <w:r>
        <w:rPr>
          <w:rFonts w:hint="eastAsia" w:ascii="仿宋" w:hAnsi="仿宋" w:eastAsia="仿宋"/>
          <w:b w:val="0"/>
          <w:sz w:val="32"/>
          <w:szCs w:val="32"/>
        </w:rPr>
        <w:t>充分发挥中小企业公共服务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示范</w:t>
      </w:r>
      <w:r>
        <w:rPr>
          <w:rFonts w:hint="eastAsia" w:ascii="仿宋" w:hAnsi="仿宋" w:eastAsia="仿宋"/>
          <w:b w:val="0"/>
          <w:sz w:val="32"/>
          <w:szCs w:val="32"/>
        </w:rPr>
        <w:t>平台在集群治理中的渠道和支撑作用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</w:rPr>
        <w:t>建立“共商、共建、共享、共赢”的集群治理机制。统筹规划集群发展，制定集群培育方案，明确发展目标和工作措施。</w:t>
      </w:r>
    </w:p>
    <w:p>
      <w:pPr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、保障措施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以市、县促进非公有制经济发展工作领导小组为责任主体，做好组织发动、沟通协调、过程监督及结果管控工作。以县（市、区）为实施主体，制定和完善本地集群转型升级实施方案及专项扶持政策。2023年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月前，各县（市、区）上报本地特色产业集群转型升级实施方案。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对于工作开展突出的县（市、区），在年度工作考核中适当加分。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（二）强化政策扶持。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县（市、区）上报的实施方案进行评审，选取定位清晰、目标明确、可行性及操作性较强的优秀方案，提供市级财政资金支持30万元，支持方案落地。各县（市、区）可配套设立专项财政资金，支持本地集群培育及转型升级工作。土地、资金、项目、人才等公共资源及政府组织的各类展览、展会、交流、学习等活动，优先向集群倾斜。</w:t>
      </w:r>
    </w:p>
    <w:p>
      <w:pPr>
        <w:ind w:firstLine="645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（三）强化标杆引领。</w:t>
      </w:r>
      <w:r>
        <w:rPr>
          <w:rFonts w:hint="eastAsia" w:ascii="仿宋" w:hAnsi="仿宋" w:eastAsia="仿宋"/>
          <w:sz w:val="32"/>
          <w:szCs w:val="32"/>
        </w:rPr>
        <w:t>根据集群转型升级工作开展情况，每年评选聊城市特色产业集群转型升级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标杆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择优推荐省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级、国家级特色产业集群项目申报，在民营经济高质量发展强镇评选中加分。对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新评选认定的国家级、省级“特色产业集群”，分别给予最高100万元、50万元一次性奖励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Q1MTgxNDk5NzZlNzM1Njg1ZWM3ZWE5ZDEyN2EifQ=="/>
  </w:docVars>
  <w:rsids>
    <w:rsidRoot w:val="00000000"/>
    <w:rsid w:val="0021715E"/>
    <w:rsid w:val="02B236DB"/>
    <w:rsid w:val="03A00847"/>
    <w:rsid w:val="06DF4D67"/>
    <w:rsid w:val="09CF4277"/>
    <w:rsid w:val="0AF75837"/>
    <w:rsid w:val="0B4759EE"/>
    <w:rsid w:val="0B8868AC"/>
    <w:rsid w:val="0BC47480"/>
    <w:rsid w:val="0C6208EF"/>
    <w:rsid w:val="0EFD1528"/>
    <w:rsid w:val="140B0BA3"/>
    <w:rsid w:val="14AD56C3"/>
    <w:rsid w:val="15ED2524"/>
    <w:rsid w:val="17746BAA"/>
    <w:rsid w:val="1891227E"/>
    <w:rsid w:val="190246E7"/>
    <w:rsid w:val="1B8048BD"/>
    <w:rsid w:val="1D8A1791"/>
    <w:rsid w:val="1ECE083C"/>
    <w:rsid w:val="1F350EDF"/>
    <w:rsid w:val="250C4670"/>
    <w:rsid w:val="252B4406"/>
    <w:rsid w:val="2586192F"/>
    <w:rsid w:val="258D6E6B"/>
    <w:rsid w:val="269C7897"/>
    <w:rsid w:val="26FF6C66"/>
    <w:rsid w:val="271D3C23"/>
    <w:rsid w:val="284A500D"/>
    <w:rsid w:val="286D4561"/>
    <w:rsid w:val="28CB57F2"/>
    <w:rsid w:val="2AF47F6A"/>
    <w:rsid w:val="2DB208D8"/>
    <w:rsid w:val="32E633E9"/>
    <w:rsid w:val="33B049D3"/>
    <w:rsid w:val="3558248C"/>
    <w:rsid w:val="3580281E"/>
    <w:rsid w:val="38111787"/>
    <w:rsid w:val="38D65AE1"/>
    <w:rsid w:val="3A5D14B5"/>
    <w:rsid w:val="3AEF5CD2"/>
    <w:rsid w:val="3B91270B"/>
    <w:rsid w:val="3CD77EA0"/>
    <w:rsid w:val="43BE5CF1"/>
    <w:rsid w:val="44634B1C"/>
    <w:rsid w:val="48AD26F0"/>
    <w:rsid w:val="49940AB3"/>
    <w:rsid w:val="4A767D68"/>
    <w:rsid w:val="4C8D2BF7"/>
    <w:rsid w:val="4FB63758"/>
    <w:rsid w:val="52A34579"/>
    <w:rsid w:val="5A5E3A53"/>
    <w:rsid w:val="5C243CC7"/>
    <w:rsid w:val="5C561351"/>
    <w:rsid w:val="5C7B450F"/>
    <w:rsid w:val="5EC24E6A"/>
    <w:rsid w:val="5EF65FE6"/>
    <w:rsid w:val="60222BF4"/>
    <w:rsid w:val="622426ED"/>
    <w:rsid w:val="63CC7C81"/>
    <w:rsid w:val="64D653E1"/>
    <w:rsid w:val="695E7374"/>
    <w:rsid w:val="69D840B5"/>
    <w:rsid w:val="6B4B068E"/>
    <w:rsid w:val="6C1C56DE"/>
    <w:rsid w:val="6C360D9D"/>
    <w:rsid w:val="6CB35BB2"/>
    <w:rsid w:val="72401D23"/>
    <w:rsid w:val="727F6342"/>
    <w:rsid w:val="72ED1BA8"/>
    <w:rsid w:val="75610C3E"/>
    <w:rsid w:val="75A57975"/>
    <w:rsid w:val="798F1E9B"/>
    <w:rsid w:val="7C0B62DA"/>
    <w:rsid w:val="7C67517B"/>
    <w:rsid w:val="7DAF0D44"/>
    <w:rsid w:val="7E7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before="4"/>
      <w:ind w:left="111"/>
    </w:pPr>
    <w:rPr>
      <w:rFonts w:ascii="仿宋" w:hAnsi="仿宋" w:eastAsia="仿宋_GB2312" w:cs="仿宋"/>
      <w:kern w:val="0"/>
      <w:sz w:val="32"/>
      <w:szCs w:val="32"/>
      <w:lang w:val="zh-CN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2023-02-13T08:14:00Z</dcterms:created>
  <dc:creator>lenovo</dc:creator>
  <cp:lastModifiedBy>杜炳辰</cp:lastModifiedBy>
  <cp:lastPrinted>2023-02-28T12:04:00Z</cp:lastPrinted>
  <dcterms:modified xsi:type="dcterms:W3CDTF">2023-03-08T03:21:37Z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E7F4C23677FD42F18A7E787E6850BCA0</vt:lpwstr>
  </property>
</Properties>
</file>