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0" w:afterAutospacing="0" w:line="480" w:lineRule="auto"/>
        <w:ind w:left="0" w:right="0"/>
        <w:jc w:val="center"/>
        <w:rPr>
          <w:rFonts w:ascii="黑体" w:hAnsi="宋体" w:eastAsia="黑体" w:cs="黑体"/>
          <w:color w:val="000000"/>
          <w:sz w:val="31"/>
          <w:szCs w:val="31"/>
          <w:bdr w:val="none" w:color="auto" w:sz="0" w:space="0"/>
          <w:shd w:val="clear" w:fill="FFFFFF"/>
        </w:rPr>
      </w:pPr>
      <w:r>
        <w:rPr>
          <w:rFonts w:ascii="方正小标宋简体" w:hAnsi="方正小标宋简体" w:eastAsia="方正小标宋简体" w:cs="方正小标宋简体"/>
          <w:color w:val="000000"/>
          <w:sz w:val="31"/>
          <w:szCs w:val="31"/>
          <w:bdr w:val="none" w:color="auto" w:sz="0" w:space="0"/>
          <w:shd w:val="clear" w:fill="FFFFFF"/>
        </w:rPr>
        <w:t>2021年度山东省工业和信息化领域优秀调研报告与研究成果获奖公示名单</w:t>
      </w:r>
      <w:r>
        <w:rPr>
          <w:rFonts w:ascii="微软雅黑" w:hAnsi="微软雅黑" w:eastAsia="微软雅黑" w:cs="微软雅黑"/>
          <w:color w:val="000000"/>
          <w:sz w:val="21"/>
          <w:szCs w:val="21"/>
          <w:shd w:val="clear" w:fill="FFFFFF"/>
        </w:rPr>
        <w:t xml:space="preserve"> </w:t>
      </w:r>
    </w:p>
    <w:p>
      <w:pPr>
        <w:pStyle w:val="2"/>
        <w:keepNext w:val="0"/>
        <w:keepLines w:val="0"/>
        <w:widowControl/>
        <w:suppressLineNumbers w:val="0"/>
        <w:spacing w:before="450" w:beforeAutospacing="0" w:after="0" w:afterAutospacing="0" w:line="480" w:lineRule="auto"/>
        <w:ind w:left="0" w:right="0"/>
        <w:jc w:val="center"/>
        <w:rPr>
          <w:sz w:val="21"/>
          <w:szCs w:val="21"/>
        </w:rPr>
      </w:pPr>
      <w:r>
        <w:rPr>
          <w:rFonts w:ascii="黑体" w:hAnsi="宋体" w:eastAsia="黑体" w:cs="黑体"/>
          <w:color w:val="000000"/>
          <w:sz w:val="31"/>
          <w:szCs w:val="31"/>
          <w:bdr w:val="none" w:color="auto" w:sz="0" w:space="0"/>
          <w:shd w:val="clear" w:fill="FFFFFF"/>
        </w:rPr>
        <w:t>一等奖名单（共20篇）</w:t>
      </w:r>
      <w:r>
        <w:rPr>
          <w:rFonts w:ascii="微软雅黑" w:hAnsi="微软雅黑" w:eastAsia="微软雅黑" w:cs="微软雅黑"/>
          <w:color w:val="000000"/>
          <w:sz w:val="21"/>
          <w:szCs w:val="21"/>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hint="eastAsia" w:ascii="微软雅黑" w:hAnsi="微软雅黑" w:eastAsia="微软雅黑" w:cs="微软雅黑"/>
          <w:color w:val="000000"/>
          <w:sz w:val="24"/>
          <w:szCs w:val="24"/>
        </w:rPr>
      </w:pP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43"/>
        <w:gridCol w:w="3051"/>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报告成果名称</w:t>
            </w:r>
            <w:r>
              <w:rPr>
                <w:rFonts w:hint="eastAsia" w:ascii="微软雅黑" w:hAnsi="微软雅黑" w:eastAsia="微软雅黑" w:cs="微软雅黑"/>
                <w:color w:val="000000"/>
                <w:sz w:val="21"/>
                <w:szCs w:val="21"/>
              </w:rPr>
              <w:t xml:space="preserve"> </w:t>
            </w:r>
          </w:p>
        </w:tc>
        <w:tc>
          <w:tcPr>
            <w:tcW w:w="3615"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完成单位</w:t>
            </w:r>
            <w:r>
              <w:rPr>
                <w:rFonts w:hint="eastAsia" w:ascii="微软雅黑" w:hAnsi="微软雅黑" w:eastAsia="微软雅黑" w:cs="微软雅黑"/>
                <w:color w:val="000000"/>
                <w:sz w:val="21"/>
                <w:szCs w:val="21"/>
              </w:rPr>
              <w:t xml:space="preserve"> </w:t>
            </w:r>
          </w:p>
        </w:tc>
        <w:tc>
          <w:tcPr>
            <w:tcW w:w="2790"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作者名单</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ascii="仿宋_GB2312" w:hAnsi="微软雅黑" w:eastAsia="仿宋_GB2312" w:cs="仿宋_GB2312"/>
                <w:color w:val="000000"/>
                <w:sz w:val="24"/>
                <w:szCs w:val="24"/>
                <w:bdr w:val="none" w:color="auto" w:sz="0" w:space="0"/>
              </w:rPr>
              <w:t>山东省制造业单项冠军发展分析报告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山东省工业和信息化厅产业政策处、山东省工业经济联合会</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马勇、钱博、郁小宇、</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朱喆、张祥、卢红博、</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傅浩良、何汇东</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党的十八大以来我省产业人才队伍建设有关情况的分析</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山东省工业和信息化厅人事处</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王旭东、朱晓真、王冕、</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隋晓亮</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2020年度全省规模以上工业企业“亩产效益”评价分析报告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山东省工业和信息化厅运行监测协调局</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魏斌、苏倩、杨洋</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山东省工业产业发展布局研究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王玉禄、王巧婧、李尚达、</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刘际宁、陈文、夏轲、</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李国芹、陈高华</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新形势下中日韩产业合作对策研究——基于山东省的探索与实践</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秦可、徐兆伟、潘劲松、</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李燕芹、张伟</w:t>
            </w:r>
            <w:r>
              <w:rPr>
                <w:rFonts w:hint="eastAsia" w:ascii="微软雅黑" w:hAnsi="微软雅黑" w:eastAsia="微软雅黑" w:cs="微软雅黑"/>
                <w:color w:val="000000"/>
                <w:sz w:val="21"/>
                <w:szCs w:val="21"/>
              </w:rPr>
              <w:t xml:space="preserve">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山东省县域工业经济研究报告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李国芹、王玉禄、王巧婧、</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刘际宁、李尚达、陈文、</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徐兆伟、李能丽</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山东省民营经济（中小企业）法治化营商环境研究报告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山东省工业和信息化厅非公有制经济（中小企业）发展处、山东省企业联合会</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庞松涛、郝龙、白培华、</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米思拓、周磊、王文波、</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姚威东、王雨晴</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山东省电子信息制造业发展路径研究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牛宗宝、徐兆伟、宋鹏飞、</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池广顺、秦可、张宇翔、</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宋云波、王兵</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全省工业互联网发展情况调研报告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山东省工业和信息化厅工业互联网处、山东省委办公厅督查二处</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李永华、栾永强、范万东、</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张旭、高亮、赵锟、</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由斌、路飞</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当前山东省实体经济成本上升的问题与对策</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山东省企业家协会、山东省工业和信息化厅运行监测协调局</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王桂强、张祥、程阳光、</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邱青森、孟庆春、邓强、</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栾镇宇、杨自辉</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山东省大数据产业发展情况调研报告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山东省工业和信息化厅数据产业推进处</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孙志强、王俊人、陈倩倩、</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杨洪于、马亮、姚智、</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安章、刘伟伟</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推进产业链优化提升培育优良产业生态调研报告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山东省工业和信息化厅研究室</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王茂庆、王克华、周鹏、</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夏轲、王志成、孙朋、孙晨、贺志豪</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发展高端体育装备 打造体育智造名城——德州市高端体育产业发展现状调研报告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德州市工业和信息化局</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王明杰、刘红、戴元滨、</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刘震、贺晓宁、耿娜</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增强产业链供应链自主可控能力路径研究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刘金旺、肖丹丹、王娟、王玉禄</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关于潍坊市制造业单项冠军的调研与建议</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潍坊市人民政府研究室、潍坊市工业和信息化局</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王国庆、张同亮、张军波、潘盈、史晓明、韩晓萍、郑金梅</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关于加快推进我省化工产业高质量发展的调研报告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山东省化工专项行动办公室产业升级组</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刘梅生</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山东省造纸产业高质量发展研究报告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山东省工业和信息化厅轻工纺织产业处</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管晓艳、纪建富、亓峰、王静、潘朝晖</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打造“硬支点”撬动大产业——关于我省首台（套）发展情况调研报告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山东省委政策研究室（省委改革办）、山东省工业和信息化厅装备产业处</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赵明、武瑞松、郭延民、都杰、刘宝</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9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关于大力培育“专精特新”高成长企业推动“新经济”产业链腾飞发展的调研报告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青岛市民营经济发展局</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李晓峰</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全省新一代信息技术产业发展情况调研报告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山东省工业和信息化厅软件与信息服务业处、山东省电子信息产品检验院（中国赛宝（山东）实验室）</w:t>
            </w:r>
            <w:r>
              <w:rPr>
                <w:rFonts w:hint="eastAsia" w:ascii="微软雅黑" w:hAnsi="微软雅黑" w:eastAsia="微软雅黑" w:cs="微软雅黑"/>
                <w:color w:val="000000"/>
                <w:sz w:val="21"/>
                <w:szCs w:val="21"/>
              </w:rPr>
              <w:t xml:space="preserve"> </w:t>
            </w:r>
          </w:p>
        </w:tc>
        <w:tc>
          <w:tcPr>
            <w:tcW w:w="279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both"/>
              <w:textAlignment w:val="center"/>
              <w:rPr>
                <w:sz w:val="21"/>
                <w:szCs w:val="21"/>
              </w:rPr>
            </w:pPr>
            <w:r>
              <w:rPr>
                <w:rFonts w:hint="default" w:ascii="仿宋_GB2312" w:hAnsi="微软雅黑" w:eastAsia="仿宋_GB2312" w:cs="仿宋_GB2312"/>
                <w:color w:val="000000"/>
                <w:sz w:val="24"/>
                <w:szCs w:val="24"/>
                <w:bdr w:val="none" w:color="auto" w:sz="0" w:space="0"/>
              </w:rPr>
              <w:t>李元广、王建平、刘洪阳、周召亮、赵道明、康蓉</w:t>
            </w:r>
            <w:r>
              <w:rPr>
                <w:rFonts w:hint="eastAsia" w:ascii="微软雅黑" w:hAnsi="微软雅黑" w:eastAsia="微软雅黑" w:cs="微软雅黑"/>
                <w:color w:val="000000"/>
                <w:sz w:val="21"/>
                <w:szCs w:val="21"/>
              </w:rPr>
              <w:t xml:space="preserve"> </w:t>
            </w:r>
          </w:p>
        </w:tc>
      </w:tr>
    </w:tbl>
    <w:p>
      <w:pPr>
        <w:pStyle w:val="2"/>
        <w:keepNext w:val="0"/>
        <w:keepLines w:val="0"/>
        <w:widowControl/>
        <w:suppressLineNumbers w:val="0"/>
        <w:spacing w:before="450" w:beforeAutospacing="0" w:after="0" w:afterAutospacing="0" w:line="480" w:lineRule="auto"/>
        <w:ind w:left="0" w:right="0"/>
        <w:jc w:val="center"/>
        <w:rPr>
          <w:sz w:val="21"/>
          <w:szCs w:val="21"/>
        </w:rPr>
      </w:pPr>
    </w:p>
    <w:p>
      <w:pPr>
        <w:pStyle w:val="2"/>
        <w:keepNext w:val="0"/>
        <w:keepLines w:val="0"/>
        <w:widowControl/>
        <w:suppressLineNumbers w:val="0"/>
        <w:spacing w:before="450" w:beforeAutospacing="0" w:after="0" w:afterAutospacing="0" w:line="480" w:lineRule="auto"/>
        <w:ind w:left="0" w:right="0"/>
        <w:jc w:val="center"/>
        <w:rPr>
          <w:sz w:val="21"/>
          <w:szCs w:val="21"/>
        </w:rPr>
      </w:pPr>
      <w:r>
        <w:rPr>
          <w:rFonts w:hint="eastAsia" w:ascii="黑体" w:hAnsi="宋体" w:eastAsia="黑体" w:cs="黑体"/>
          <w:color w:val="000000"/>
          <w:sz w:val="31"/>
          <w:szCs w:val="31"/>
          <w:bdr w:val="none" w:color="auto" w:sz="0" w:space="0"/>
          <w:shd w:val="clear" w:fill="FFFFFF"/>
        </w:rPr>
        <w:t>二等奖名单（共35篇）</w:t>
      </w:r>
      <w:r>
        <w:rPr>
          <w:rFonts w:hint="eastAsia" w:ascii="微软雅黑" w:hAnsi="微软雅黑" w:eastAsia="微软雅黑" w:cs="微软雅黑"/>
          <w:color w:val="000000"/>
          <w:sz w:val="21"/>
          <w:szCs w:val="21"/>
          <w:shd w:val="clear" w:fill="FFFFFF"/>
        </w:rPr>
        <w:t xml:space="preserve">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57"/>
        <w:gridCol w:w="2975"/>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报告成果名称</w:t>
            </w:r>
            <w:r>
              <w:rPr>
                <w:rFonts w:hint="eastAsia" w:ascii="微软雅黑" w:hAnsi="微软雅黑" w:eastAsia="微软雅黑" w:cs="微软雅黑"/>
                <w:color w:val="000000"/>
                <w:sz w:val="21"/>
                <w:szCs w:val="21"/>
              </w:rPr>
              <w:t xml:space="preserve"> </w:t>
            </w:r>
          </w:p>
        </w:tc>
        <w:tc>
          <w:tcPr>
            <w:tcW w:w="3615"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完成单位</w:t>
            </w:r>
            <w:r>
              <w:rPr>
                <w:rFonts w:hint="eastAsia" w:ascii="微软雅黑" w:hAnsi="微软雅黑" w:eastAsia="微软雅黑" w:cs="微软雅黑"/>
                <w:color w:val="000000"/>
                <w:sz w:val="21"/>
                <w:szCs w:val="21"/>
              </w:rPr>
              <w:t xml:space="preserve"> </w:t>
            </w:r>
          </w:p>
        </w:tc>
        <w:tc>
          <w:tcPr>
            <w:tcW w:w="2820"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作者名单</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山东省化工产业智能化改造数字化转型的实践路径探析</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山东省化工专项行动办公室综合协调组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邵阳、刘维峰</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关于工业互联网企业数据安全态势分析研究的调研报告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山东省电子信息产品检验院（中国赛宝（山东）实验室）</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张睿、李璇、王新霞、陈意、王小龙、师坤、孔群、胡谦</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关于打造大数据与新一代信息技术全产业链的思考与建议</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济南市工业和信息化局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王冲鶄、郭东法、文海生、赵配才、徐磊、王玉玲、曹志芹、谭琳琳</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以新一代信息技术为手段提升山东制造业路径研究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刘明伟、王鹏、李洪文</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2021山东企业100强发展报告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山东省企业联合会</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张祥、王大莉、高位、刘杨、韩其栋、栾镇宇、何汇东</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山东省“专精特新”企业上市培育调研报告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山东省工业和信息化厅融资促进处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董广山、周健、卢桂桥</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全省新材料产业发展情况调研报告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山东省工业和信息化厅新材料产业处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俞刚、滕立格、逯建康、魏斌</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我省工业创新链面临的主要问题及对策研究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山东省工业和信息化厅科技处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刘克征、武爱明、魏欣、</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辛颖、杨肖方</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鲁粤苏浙四省制造业重点企业比较研究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王强、崔磊、陈露</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基于电力大数据的山东十强现代优势产业集群调研分析</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国网山东省电力公司</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赵鹏、李猛、杨雍琦、</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安佰鹏、刘知凡、王鹏、</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薛万磊、厉艳</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山东省绿色制造示范项目创建情况调研报告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山东鲁源节能认证技术工程有限公司、山东省工业和信息化厅绿色发展推进处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孟繁华、沈其民、闫崇强、颜士峰、邓军、陈雪、田一、杜永常</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全省平板玻璃产业发展情况调研报告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山东省工业和信息化厅原材料产业处、山东省建材工业协会、山东省建筑玻璃和工业玻璃协会</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丁寄方、王功永、靳志刚、李建国、焦勇刚、宗学斌、卢露</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4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无线电频率使用率准确性研究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山东省无线电监测站</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王进、刘一鸣、黄姝琦、</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陈富彬、袁路花</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关于我市应对大规模疫情建立防疫物资保障体系的建议</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济南市工业和信息化局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文海生、郭东法、潘克侠、张奇良、孔德龙、胡永波、李亚楠、谭琳琳</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11"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山东省工业设计产业发展报告（2019-2020）</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济南国际创新设计产业园（园区运营方：济南同天投资有限公司）</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济南国际创新设计产业园、山东大学文化产业研究院、济南市市中区创新设计学会、文化产业动能转换与生态系统山东省文化科技重点实验室、济南泺尚有道规划咨询有限公司</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关于我市民营企业法律风险点分析及对策建议</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济南市民营经济发展局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高振刚、杨奉尧、迟晶鑫、张晓天、杨晓青</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关于对山东省工业互联网发展现状、存在问题和下步建议的调研报告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山东省计算中心（国家超级计算济南中心）、山东山科数字经济研究院有限公司</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李刚、刘一鸣、韩德隆、刘千龙、唐庆国、王秉帅、孙金洋、马方雷</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泰安市工业智能化水平分析及对策研究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泰山智能制造产业研究院</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毕延洁、卢蓓蓓、何伟宁、王军、袁修坤、刘康、李丽丽、蒋坤萍</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全省船舶与海洋工程装备和轨道交通装备产业发展调研报告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山东省工业和信息化厅海洋装备产业处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贺强、刘丽梅、王海波</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山东省工业企业“十四五”技术改造规划的调研和思考</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山东省工业和信息化厅规划与技术改造处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王楗夫、张荀、张文光、吕长飞、刘伟、燕乐政、</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唐荣涛</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虚拟现实产业发展调研报告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山东省工业和信息化厅电子信息产业处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李英峰、周琰、高暘、林华健</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关于轻工行业产业集群提升发展的调研报告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山东省轻工集体企业联社</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李海珍、王静、付飞飞、曹际良、杲广通</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潍坊市实践“链长制”加强制造业产业生态创新情况调研报告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潍坊市工业和信息化局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鞠俊海、冷新法、孙学山、潘盈、吕晋军、郑金梅</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山东省稀土材料战略研究报告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山东省高端化工产业发展促进会</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李光明、张新柱、郭宝奎</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山东省民营及中小企业调研报告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山东工商学院、山东省亚太资本市场研究院</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孙国茂、李宗超、李猛、</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刘坤、吴奉刚</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基于乡村振兴战略的电子商务人才培养体系的研究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山东电子职业技术学院</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李敏、甄小虎、刘春艳、郑孟昊、朱晓丹、耿伟斯、王瑞军、石祥超</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山东省“专精特新”中小企业发展报告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山东省工业和信息化厅创新创业指导处、山东省企业联合会</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杨齐眉、万吉良、张祥、</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王烨、王尔成、邢瑞、何汇东、吉海颖</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济宁PPP模式的实践与创新研究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济宁市财政事务服务中心</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许一新、金锐社、高贵伟、冯冉冉、李广宁、王勇</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工业互联网发展“肥城模式”的探索研究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肥城市工业和信息化局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赵恒军、石长英、赵明帅、桑潇</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工业遗产保护与创新性再利用研究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山东省工业和信息化研究院</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程琳、李尚达、王文平、宋鹏飞、国栋、王樊伟、</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李晓峰</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锻长板补短板 协同推进数字经济强省建设</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山东省科技发展战略研究所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李晔、白全民、王金颖、</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徐立平、尹翀、刘阳荷、</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季小妹</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特色炼化产业发展专项调研报告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山东省化工专项行动办公室炼油化工组</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徐洪、卢晓东、李德坤、</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秦建军、赵国玺</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关于威海市智能制造情况的调研报告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威海市工业和信息化局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徐连敏、赵明君、张庆芬、李伟、兰鹏晓</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抢抓整车项目落地机遇推动新能源汽车全产业链加快发展</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济南市工业和信息化局</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汲佩德、黎毅、文海生、</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李纪军、孙绪慧、王思国、王彦昊、王永强</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制约我省民营企业高质量发展的影响因素研究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山东省轻工集体企业联社</w:t>
            </w:r>
            <w:r>
              <w:rPr>
                <w:rFonts w:hint="eastAsia" w:ascii="微软雅黑" w:hAnsi="微软雅黑" w:eastAsia="微软雅黑" w:cs="微软雅黑"/>
                <w:color w:val="000000"/>
                <w:sz w:val="21"/>
                <w:szCs w:val="21"/>
              </w:rPr>
              <w:t xml:space="preserve"> </w:t>
            </w:r>
          </w:p>
        </w:tc>
        <w:tc>
          <w:tcPr>
            <w:tcW w:w="2820"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许镇</w:t>
            </w:r>
            <w:r>
              <w:rPr>
                <w:rFonts w:hint="eastAsia" w:ascii="微软雅黑" w:hAnsi="微软雅黑" w:eastAsia="微软雅黑" w:cs="微软雅黑"/>
                <w:color w:val="000000"/>
                <w:sz w:val="21"/>
                <w:szCs w:val="21"/>
              </w:rPr>
              <w:t xml:space="preserve"> </w:t>
            </w:r>
          </w:p>
        </w:tc>
      </w:tr>
    </w:tbl>
    <w:p>
      <w:pPr>
        <w:pStyle w:val="2"/>
        <w:keepNext w:val="0"/>
        <w:keepLines w:val="0"/>
        <w:widowControl/>
        <w:suppressLineNumbers w:val="0"/>
        <w:spacing w:before="450" w:beforeAutospacing="0" w:after="0" w:afterAutospacing="0" w:line="480" w:lineRule="auto"/>
        <w:ind w:left="0" w:right="0"/>
        <w:jc w:val="center"/>
        <w:rPr>
          <w:sz w:val="27"/>
          <w:szCs w:val="27"/>
        </w:rPr>
      </w:pPr>
    </w:p>
    <w:p>
      <w:pPr>
        <w:pStyle w:val="2"/>
        <w:keepNext w:val="0"/>
        <w:keepLines w:val="0"/>
        <w:widowControl/>
        <w:suppressLineNumbers w:val="0"/>
        <w:spacing w:before="450" w:beforeAutospacing="0" w:after="0" w:afterAutospacing="0" w:line="480" w:lineRule="auto"/>
        <w:ind w:left="0" w:right="0"/>
        <w:jc w:val="center"/>
        <w:rPr>
          <w:sz w:val="21"/>
          <w:szCs w:val="21"/>
        </w:rPr>
      </w:pPr>
      <w:r>
        <w:rPr>
          <w:rFonts w:hint="eastAsia" w:ascii="黑体" w:hAnsi="宋体" w:eastAsia="黑体" w:cs="黑体"/>
          <w:color w:val="000000"/>
          <w:sz w:val="31"/>
          <w:szCs w:val="31"/>
          <w:bdr w:val="none" w:color="auto" w:sz="0" w:space="0"/>
          <w:shd w:val="clear" w:fill="FFFFFF"/>
        </w:rPr>
        <w:t>三等奖名单（共45篇）</w:t>
      </w:r>
      <w:r>
        <w:rPr>
          <w:rFonts w:hint="eastAsia" w:ascii="微软雅黑" w:hAnsi="微软雅黑" w:eastAsia="微软雅黑" w:cs="微软雅黑"/>
          <w:color w:val="000000"/>
          <w:sz w:val="21"/>
          <w:szCs w:val="21"/>
          <w:shd w:val="clear" w:fill="FFFFFF"/>
        </w:rPr>
        <w:t xml:space="preserve">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04"/>
        <w:gridCol w:w="3060"/>
        <w:gridCol w:w="2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报告成果名称</w:t>
            </w:r>
            <w:r>
              <w:rPr>
                <w:rFonts w:hint="eastAsia" w:ascii="微软雅黑" w:hAnsi="微软雅黑" w:eastAsia="微软雅黑" w:cs="微软雅黑"/>
                <w:color w:val="000000"/>
                <w:sz w:val="21"/>
                <w:szCs w:val="21"/>
              </w:rPr>
              <w:t xml:space="preserve"> </w:t>
            </w:r>
          </w:p>
        </w:tc>
        <w:tc>
          <w:tcPr>
            <w:tcW w:w="3615"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完成单位</w:t>
            </w:r>
            <w:r>
              <w:rPr>
                <w:rFonts w:hint="eastAsia" w:ascii="微软雅黑" w:hAnsi="微软雅黑" w:eastAsia="微软雅黑" w:cs="微软雅黑"/>
                <w:color w:val="000000"/>
                <w:sz w:val="21"/>
                <w:szCs w:val="21"/>
              </w:rPr>
              <w:t xml:space="preserve"> </w:t>
            </w:r>
          </w:p>
        </w:tc>
        <w:tc>
          <w:tcPr>
            <w:tcW w:w="2820" w:type="dxa"/>
            <w:tcBorders>
              <w:top w:val="single" w:color="auto" w:sz="6" w:space="0"/>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center"/>
              <w:textAlignment w:val="center"/>
              <w:rPr>
                <w:sz w:val="21"/>
                <w:szCs w:val="21"/>
              </w:rPr>
            </w:pPr>
            <w:r>
              <w:rPr>
                <w:rFonts w:hint="eastAsia" w:ascii="黑体" w:hAnsi="宋体" w:eastAsia="黑体" w:cs="黑体"/>
                <w:color w:val="000000"/>
                <w:sz w:val="28"/>
                <w:szCs w:val="28"/>
                <w:bdr w:val="none" w:color="auto" w:sz="0" w:space="0"/>
              </w:rPr>
              <w:t>作者名单</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大型能源企业对标世界一流管理提升体系构建</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山东能源集团有限公司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朱昊、徐煜、黄淑丽、徐文远、陈永刚、刘建昆、张明</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关于加快发展大健康产业的调查研究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威海市工业和信息化局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周永平</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东营市制造业发展质量效益现状分析及提升对策研究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东营市工业和信息化局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陈锐、王清海、王强、</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胥曰强</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淄博市全国首创“技改专项贷”破解企业技改融资难题的调研报告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淄博市工业和信息化局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王晓东、贾敏、彭学华、</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杨蓓、宋苏航、周志涛、孙佳、赵虹</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山东省中小企业数字化转型现状及对策建议调研报告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山东省电子信息产品检验院（中国赛宝（山东）实验室）、山东财经大学、兰陵县工业和信息化产业发展中心、山东渤聚通云计算有限公司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石秀芳、柳明军、李高勇、刘妤、张文乐、赵庆志、</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何俊</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关于加快先进制造业强市建设的调研报告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威海市工业和信息化局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杨启玉、宋高阳、王力召、陶珺</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滨州市化工产业发展现状及路径分析</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滨州市工业和信息化局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张秀涛、张延苹、高建波、秦丽丽、周文锋、厉明</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关于青岛市汽车产业链的调研报告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青岛市工业和信息化局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仲思卿、邰鹏、张国栋</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工业互联网赋能中小企业创新发展研究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山东省轻工集体企业联社</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崔为红、窦永富</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危险化学品道路运输企业安全运营现状调研报告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山东省化工专项行动办公室交通运输组</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张贤艳、崔接智、吴伟阳</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惠企政策精准匹配 推动民营企业中小企业高质量发展调研报告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山东省轻工集体企业联社</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张峰、郝龙</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关于推动我市制造业高质量发展的调查与思考</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菏泽市工业和信息化局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刘怀壮、李建华、王祯、</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赵宝杰、吕春明</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聊城市优质中小企业培育路径研究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聊城市工业和信息化局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吴明启、黄性利、郭玉玺、平志磊</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充分发挥企业创新主体作用 奋力建设先进制造业强市</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德州市工业和信息化局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王义燕、王志敏、孙洪昌、尉华、马君</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关于加快发展工业旅游的调研与思考</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济南市工业和信息化局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吕春明、文海生、潘克侠、沈建、徐晗瑜、李亚楠、</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孟操、赵东明</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苏州合肥深圳三市制造业发展的启示与借鉴</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青岛市工业和信息化局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卞成、张金灿、王子坤、高颖茂</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关于新一代“青岛金花”培育工作的调研报告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青岛市工业和信息化局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周新征、吴世森、李军、</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李芊颖、李建刚</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抢占窗口期 推动第三代半导体成为山东省产业转型重大新动能</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山东电子学会、山东理工大学淄博发展研究院</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高暘、高峰、蒋兵、王艳利、陈淼</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电动汽车充电基础设施发展规划研究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国网山东省电力公司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王瑞、赵泓霖、延野、刘申、孙启明、张磊、张广涛、韩晓光</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内循环格局对聊城市工业发展影响的调研报告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聊城市工业和信息化局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黄性利、刘兆乾、郝巧凤、李兆凯、李绍远</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关于整合资源形成合力抢占新经济发展制高点的建议</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青岛市民营经济发展局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邢恩荣、张琳</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煤化工行业碳达峰碳中和技术路线调研报告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山东省化工专项行动办公室化肥氯碱组</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岳文胜、苏俊杰、张峣</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企业数字化转型助力工业经济高质量发展</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东明县工业和信息化局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王晓彦</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德州市数字经济发展调研报告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德州市工业和信息化局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徐新、赵俊杰、刘应新</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潍坊市氢能产业发展调研报告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潍坊市工业和信息化局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冷新法、曹晓军、闫改芝、马峻峰、苗群、徐国林、韩晓萍</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关于淄博市数字经济发展的调研报告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淄博市工业数字经济发展中心</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高文、张研美、王士强</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山东省家具行业发展调研报告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山东省家具协会</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陈娟、牛广霞、韩庆生、王腾、吕磊、毕宁宁</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关于对山东省数字经济领域发展现状、存在问题和下步建议的调研报告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山东省计算中心（国家超级计算济南中心）、山东山科数字经济研究院有限公司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周鸣乐、李旺、冯正乾、王春景、李涛、姬茗曦、张富纶、张泽钖</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山东省高端装备产业发展路径及对策研究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山东省机械设计研究院</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林江海、夏玉海、刘文俊、张存生、何华、王朝峰、李海青</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基于5G+技术的三山岛金矿智能矿山应用成果</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山东黄金矿业（莱州）有限公司三山岛金矿</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刘再涛、潘伟、孙卫东、王涛、赵威、尹贻辉、邓帅</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“新形势下化工园区第三方环保管家服务模式的思考研究”调研报告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山东省化工专项行动办公室环保节能组</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傅军、韩天鹏、刘凯</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当前高职院校发展面临几方面困难</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山东信息职业技术学院</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徐家荣、张兴科、张彩云、刘明忠</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关于菏泽市工业设计产业发展情况的调研报告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菏泽市工业和信息化局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胡静、赵耀、郝丕进、周昆峰、杜朝辉</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关于济宁市工程机械行业转型升级发展的调研报告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济宁市工业和信息化局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黄新平、钟鸣、徐刚、郭贤、陈宣文、杨万里</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关于赴湖北万华板业考察学习升级无醛板的调研报告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临沂市工业和信息化局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尹永军、吴佳书</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关于推动烟台市黄金产业高质量发展的调研报告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烟台市工业和信息化局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朱战胜</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关于加快人工智能赋能“四强”产业推动新经济发展的调研报告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淄博市工业和信息化局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于明磊、高志强、宋苏航、张峰、李萌</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移走“王屋山”守护绿水青山</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山东省区域资源与环境发展研究院</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张忠莲、孙文欢、孙蕾蕾、韩林林、刘欢</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中国移动山东公司5G网络700M组网性能及建设方案研究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中国移动通信集团设计院有限公司山东分公司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李寿鹏、杨健、程永明、</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张沛、邱宝刚、胡森、</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王建、彭丽</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数智化转型升级赋能矿山高质量发展</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山东黄金集团有限公司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王成龙、张汉阔、刘再涛、戴云涛、石自信、施升涛、孙旭娜、刘少杰</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9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市场化精益化融合管理体系的构建及实施</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山东能源集团有限公司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徐文远、朱昊、刘风平、</w:t>
            </w:r>
            <w:r>
              <w:rPr>
                <w:rFonts w:hint="eastAsia" w:ascii="微软雅黑" w:hAnsi="微软雅黑" w:eastAsia="微软雅黑" w:cs="微软雅黑"/>
                <w:color w:val="000000"/>
                <w:sz w:val="21"/>
                <w:szCs w:val="21"/>
              </w:rPr>
              <w:t xml:space="preserve"> </w:t>
            </w:r>
          </w:p>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徐煜、陈正大、张明、夏俊生、刘建昆</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山东省无线电管理人才队伍建设现状与对策分析</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泰安市工业和信息化局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徐从军、庞波、谢厚正、马增利、吴振宇</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场景视域下的工业互联网赋能青岛制造业高质量发展路径研究</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青岛市工业和信息化局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唐旖浓、甘路、乔熹</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关于济宁市兖州区、鱼台县化工行业智能化诊断的调研报告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中国移动通信集团山东有限公司</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李建元、杨峰、田经师、魏庆伟、王战华、黄喜悦、张家铭、田育欣</w:t>
            </w:r>
            <w:r>
              <w:rPr>
                <w:rFonts w:hint="eastAsia" w:ascii="微软雅黑" w:hAnsi="微软雅黑" w:eastAsia="微软雅黑" w:cs="微软雅黑"/>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jc w:val="center"/>
        </w:trPr>
        <w:tc>
          <w:tcPr>
            <w:tcW w:w="3480" w:type="dxa"/>
            <w:tcBorders>
              <w:top w:val="nil"/>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关于荣成市集成电路产业链高质量发展情况的调研报告</w:t>
            </w:r>
            <w:r>
              <w:rPr>
                <w:rFonts w:hint="eastAsia" w:ascii="微软雅黑" w:hAnsi="微软雅黑" w:eastAsia="微软雅黑" w:cs="微软雅黑"/>
                <w:color w:val="000000"/>
                <w:sz w:val="21"/>
                <w:szCs w:val="21"/>
              </w:rPr>
              <w:t xml:space="preserve"> </w:t>
            </w:r>
          </w:p>
        </w:tc>
        <w:tc>
          <w:tcPr>
            <w:tcW w:w="361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荣成经济开发区财政审计局、荣成市工业和信息化局</w:t>
            </w:r>
            <w:r>
              <w:rPr>
                <w:rFonts w:hint="eastAsia" w:ascii="微软雅黑" w:hAnsi="微软雅黑" w:eastAsia="微软雅黑" w:cs="微软雅黑"/>
                <w:color w:val="000000"/>
                <w:sz w:val="21"/>
                <w:szCs w:val="21"/>
              </w:rPr>
              <w:t xml:space="preserve"> </w:t>
            </w:r>
          </w:p>
        </w:tc>
        <w:tc>
          <w:tcPr>
            <w:tcW w:w="1875" w:type="dxa"/>
            <w:tcBorders>
              <w:top w:val="nil"/>
              <w:left w:val="nil"/>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spacing w:before="0" w:beforeAutospacing="0" w:line="480" w:lineRule="auto"/>
              <w:jc w:val="left"/>
              <w:textAlignment w:val="center"/>
              <w:rPr>
                <w:sz w:val="21"/>
                <w:szCs w:val="21"/>
              </w:rPr>
            </w:pPr>
            <w:r>
              <w:rPr>
                <w:rFonts w:hint="default" w:ascii="仿宋_GB2312" w:hAnsi="微软雅黑" w:eastAsia="仿宋_GB2312" w:cs="仿宋_GB2312"/>
                <w:color w:val="000000"/>
                <w:sz w:val="24"/>
                <w:szCs w:val="24"/>
                <w:bdr w:val="none" w:color="auto" w:sz="0" w:space="0"/>
              </w:rPr>
              <w:t>商翠明、马琳</w:t>
            </w:r>
            <w:r>
              <w:rPr>
                <w:rFonts w:hint="eastAsia" w:ascii="微软雅黑" w:hAnsi="微软雅黑" w:eastAsia="微软雅黑" w:cs="微软雅黑"/>
                <w:color w:val="000000"/>
                <w:sz w:val="21"/>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GQ4ODRkZjUxYjkwMmRjYjQ2ZDg2NGMwMzczNjMifQ=="/>
  </w:docVars>
  <w:rsids>
    <w:rsidRoot w:val="00DF6BB8"/>
    <w:rsid w:val="00DF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bdr w:val="none" w:color="auto" w:sz="0" w:space="0"/>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00000"/>
      <w:u w:val="none"/>
      <w:bdr w:val="none" w:color="auto" w:sz="0" w:space="0"/>
    </w:rPr>
  </w:style>
  <w:style w:type="character" w:styleId="10">
    <w:name w:val="HTML Code"/>
    <w:basedOn w:val="4"/>
    <w:uiPriority w:val="0"/>
    <w:rPr>
      <w:rFonts w:ascii="Courier New" w:hAnsi="Courier New"/>
      <w:sz w:val="20"/>
    </w:rPr>
  </w:style>
  <w:style w:type="character" w:styleId="11">
    <w:name w:val="HTML Cite"/>
    <w:basedOn w:val="4"/>
    <w:uiPriority w:val="0"/>
  </w:style>
  <w:style w:type="character" w:customStyle="1" w:styleId="12">
    <w:name w:val="hover12"/>
    <w:basedOn w:val="4"/>
    <w:uiPriority w:val="0"/>
  </w:style>
  <w:style w:type="character" w:customStyle="1" w:styleId="13">
    <w:name w:val="hover13"/>
    <w:basedOn w:val="4"/>
    <w:uiPriority w:val="0"/>
  </w:style>
  <w:style w:type="character" w:customStyle="1" w:styleId="14">
    <w:name w:val="bsharetext"/>
    <w:basedOn w:val="4"/>
    <w:uiPriority w:val="0"/>
  </w:style>
  <w:style w:type="character" w:customStyle="1" w:styleId="15">
    <w:name w:val="hover14"/>
    <w:basedOn w:val="4"/>
    <w:uiPriority w:val="0"/>
  </w:style>
  <w:style w:type="character" w:customStyle="1" w:styleId="16">
    <w:name w:val="hover15"/>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5532</Words>
  <Characters>5559</Characters>
  <Lines>0</Lines>
  <Paragraphs>0</Paragraphs>
  <TotalTime>1</TotalTime>
  <ScaleCrop>false</ScaleCrop>
  <LinksUpToDate>false</LinksUpToDate>
  <CharactersWithSpaces>5917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2023-03-21T02:34:00Z</dcterms:created>
  <dc:creator>Administrator</dc:creator>
  <cp:lastModifiedBy>Administrator</cp:lastModifiedBy>
  <dcterms:modified xsi:type="dcterms:W3CDTF">2023-03-21T02:35:56Z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6156EBE4E9094BDCA89CAAE4757DA8DD</vt:lpwstr>
  </property>
</Properties>
</file>