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推进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有色金属深加工产业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高质量发展的意见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为深入贯彻落实《聊城市制造业强市三年攻坚突破行动计划（2023-2025年）》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（聊发〔2022〕9号）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加快推动有色金属产业转型升级步伐，打造完整产业链生态，提升产品附加值，推动有色金属深加工产业高质量发展。制定本意见如下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sz w:val="32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</w:rPr>
        <w:t>黄河流域生态保护和高质量发展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为统领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落实《有色金属行业碳达峰实施方案》，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充分发挥我市有色金属产业规模优势，深入推动产业链条延伸，切实增强产业创新能力，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推动产业绿色化发展，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努力实现有色金属深加工产业结构合理、布局优化、质效提升，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将我市打造成为全国先进的有色金属深加工产业基地。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力争到2025年，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我市有色金属及深加工产业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基本形成布局结构合理、资源供应稳定、技术装备先进、质量品牌突出、智能化水平高、绿色低碳可持续的高质量发展格局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 w:bidi="zh-CN"/>
        </w:rPr>
        <w:t>产业规模不断扩大。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力争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铝、铜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规上企业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和15家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以上，全市铝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产业产值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分别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突破1100亿元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和500亿元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培育新增20亿以上企业5家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zh-CN"/>
        </w:rPr>
        <w:t>科技创新持续提升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 w:bidi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CN" w:eastAsia="zh-CN" w:bidi="zh-CN"/>
        </w:rPr>
        <w:t>推动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企业研发能力不断提高，创新水平实现重大突破。到2025年，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新增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省级以上创新平</w:t>
      </w:r>
      <w:r>
        <w:rPr>
          <w:rFonts w:hint="default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台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10家，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高新技术企业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实现规模以上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zh-CN"/>
        </w:rPr>
        <w:t>精深加工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 w:bidi="zh-CN"/>
        </w:rPr>
        <w:t>产业企业研发活动全覆盖。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 w:bidi="zh-CN"/>
        </w:rPr>
        <w:t>产业集群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zh-CN" w:eastAsia="zh-CN" w:bidi="zh-CN"/>
        </w:rPr>
        <w:t>融合发展。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着力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国内高端铝精深加工基地和</w:t>
      </w:r>
      <w:r>
        <w:rPr>
          <w:rFonts w:hint="eastAsia" w:ascii="仿宋_GB2312" w:hAnsi="仿宋_GB2312" w:eastAsia="仿宋_GB2312" w:cs="仿宋_GB2312"/>
          <w:sz w:val="32"/>
          <w:szCs w:val="32"/>
        </w:rPr>
        <w:t>铜精深加工产业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深入推进产业链条延伸，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引进和培育一批终端应用产品生产企业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。加快构建优势突出的细分领域产业创新集群，努力打造具有聊城特色的有色金属深加工产业体系。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zh-CN"/>
        </w:rPr>
        <w:t>绿色低碳深入推进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zh-CN" w:eastAsia="zh-CN" w:bidi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支持改进和升级铜铝冶炼和精深加工生产工艺，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加快提升生产效率和资源利用率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每年培育新增2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家市级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及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以上绿色制造示范企业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新增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4家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及以上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ar"/>
        </w:rPr>
        <w:t>智能工厂和数字化车间。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科学布局，实现聚集发展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以茌平区和东阿县为核心，重点打造茌平区千亿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级铝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产业园区，培育东阿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百亿级</w:t>
      </w:r>
      <w:r>
        <w:rPr>
          <w:rFonts w:hint="eastAsia" w:ascii="仿宋_GB2312" w:hAnsi="仿宋_GB2312" w:eastAsia="仿宋_GB2312" w:cs="仿宋_GB2312"/>
          <w:sz w:val="32"/>
          <w:szCs w:val="32"/>
        </w:rPr>
        <w:t>铝单板产业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以阳谷和临清为核心，培育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阳谷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加工产业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集群和临清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铜管型材产业园区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Hlk122256206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补链强链</w:t>
      </w:r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，增强产业活力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深入推进产业链条延伸，实施延链、补链、强链工程，鼓励企业向精加工、高附加值的终端产品延伸，促进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铝行业高端产品的研发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高端定位，培育品牌企业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以新材料铝合金、再生铝、汽车零部件、铝箔、铝单板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高精度铜合金板带和高精度压延铜箔</w:t>
      </w:r>
      <w:r>
        <w:rPr>
          <w:rFonts w:hint="eastAsia" w:ascii="仿宋_GB2312" w:hAnsi="仿宋_GB2312" w:eastAsia="仿宋_GB2312" w:cs="仿宋_GB2312"/>
          <w:sz w:val="32"/>
          <w:szCs w:val="32"/>
        </w:rPr>
        <w:t>等产品为重点领域，遴选一批创新能力强、引领作用大、研发水平高、发展潜力好的骨干企业，建立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精深加工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产业领军企业库。对入库企业在研发平台建设、重大技术攻关应用、高端人才引进培育、创新政策落实、产学研合作、知识产权管理等方面给予支持和服务，积极推荐领军企业申报国家和省重点项目。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招商引资，补齐产业短板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铝深加工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产业集群，以交通运输用铝、建筑用铝、高纯铝、再生铝回收等铝精深加工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招商引资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。围绕拓展铜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的开发和应用领域，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高端电解铜箔、覆铜板、印刷电路板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、数字通信电缆等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为招商重点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精深加工产品谱系，扩大高附加值产品比重，提升产业竞争力。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（五）聚集环保，加快绿色转型。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以节能降碳和绿色转型为牵引，实施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有色金属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产业质量提升行动，推动产品向产业链中高端迈进，推动再生铝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、再生铜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铜铝</w:t>
      </w:r>
      <w:r>
        <w:rPr>
          <w:rFonts w:hint="eastAsia" w:ascii="仿宋_GB2312" w:hAnsi="仿宋_GB2312" w:eastAsia="仿宋_GB2312" w:cs="仿宋_GB2312"/>
          <w:sz w:val="32"/>
          <w:szCs w:val="32"/>
        </w:rPr>
        <w:t>制品短流程分级回收，促进废物综合利用。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实施数字化和智能化升级工程，推动新一代信息技术与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有色金属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冶炼和加工技术深度融合，建成一批智能生产线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智能车间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和智能工厂。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、政策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措施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B0F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支持企业加快高端化转型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铝精深加工和终端制品企业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对照行业领先水平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强化创新研发设计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新材料铝合金、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铜合金、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再生铝、汽车零部件、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压延铜箔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铝单板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等领域实现新突破。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对成长性强、高端化转型显著的企业，优先支持申报省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新材料领军企业培育库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省新材料领军企业50强。支持企业参加重点新材料首批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应用保险补偿机制，利用市场化手段对新材料应用示范风险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控制和分担。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市工业和信息化局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、市财政局）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FF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支持企业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绿色化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转型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实施升级改造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铜铝冶炼和精深加工生产工艺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攻坚突破行动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提高废杂铜铝再生利用率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支持企业开展工业绿色诊断，挖掘绿色化改造潜力，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对于符合《聊城市工业绿色诊断补贴资金管理细则（试行）》相关规定的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被诊断企业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上一年度营业收入超过2亿元（含2亿元），给予最高4万元一次性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奖励，低于2亿元的，给予最高3万元一次性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鼓励铜铝冶炼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精深加工企业开展节能节水技术改造，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大力创建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国家级、省级绿色工厂，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对省级及以上绿色工厂豁免秋冬季错峰生产，对达到A级或引领性的企业，在重污染天气应急期间可自主采取减排措施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工业和信息化局、市生态环境局、市财政局）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.支持企业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数字化转型。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工赋聊城”行动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建设“晨星工厂”，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提高关键工序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化水平。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引导企业改造升级数字化生产线，在生产过程中应用云计算、工业互联网和智能感知终端等现代信息技术。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对新认定的国家级智能制造示范工厂、智能制造优秀场景，省级智能制造系统解决方案供应商、智能制造标杆企业、智能工厂、数字化车间、智能制造场景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的企业按照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有关政策给予相应的奖励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责任单位: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市工业和信息化局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、市财政局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4.支持企业加快精品化转型。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精深加工企业“标准+质量”联动行动。鼓励重点企业按照国际、国家和行业标准，生产达标、超标核心竞争力产品，提高产品市场竞争力。支持龙头、骨干企业和研发机构参与各类标准的制定和修订，提高行业话语权，并按照有关政策给予相应的奖励。支持精深加工企业争创国家、省质量标杆，并按照相关政策给予支持。鼓励企业利用大数据技术，提升在线监测、控制和产品全生命周期质量追溯能力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责任单位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市市场监督管理局、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市工业和信息化局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、市财政局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5.支持产业加快集群化转型。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重点打造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千亿级铝产业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集群和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铜及铜深加工产业集群。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推动聊城形成具有国内较大影响力的有色金属深加工产品品牌中心、研发中心、新产品开发中心和有色金属深加工产业示范基地。支持铜铝精深加工企业立足优势、错位发展，形成集群特色鲜明、主导产品突出、发展优势互补、良性竞争共赢的产业发展新格局。加快建设质量检测检验、中试、评价、成果转化等公共服务平台，提高有色金属深加工产业集群化发展的综合配套能力。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市工业和信息化局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市自然资源和规划局、市市场监督管理局、市科技局，茌平区人民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政府、阳谷县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6.支持再生有色金属产业发展。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对在聊注册成立的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再生有色金属回收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及加工利用企业，按照财政部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税务总局《关于完善资源综合利用增值税政策的公告》（2021年第40号）规定，享受国家增值税即征即退相关政策。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（责任单位：市税务局、市财政局）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7.支持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FFFFFF"/>
          <w:lang w:val="en-US" w:eastAsia="zh-CN"/>
        </w:rPr>
        <w:t>固废赤泥综合利用。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鼓励信发集团实施赤泥堆场生态修复工程，加强科技研发能力，多渠道、多方式开展“揭榜挂帅”项目，提高赤泥综合利用率。针对赤泥综合利用项目，可采取“一事一议”的方式，在环境容量、土地指标等方面优先保障要素需求，确保项目建设序时推进，早日达产。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（责任单位：市税务局、市生态环境局、市工业和信息化局，茌平区人民政府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8.支持企业提质升级。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精深加工企业走专业化、精细化、特色化、新颖化发展道路，对新认定为“独角兽”“瞪羚”、高新技术企业，国家级、省级专精特新企业，国家级、省级单项冠军示范企业、产品的相关企业可分别按照相关政策优先给予奖励，并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重点项目申报、能源保供、优秀企业家评选等方面予以重点倾斜。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责任单位：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市工业和信息化局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市发展和改革委员会、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市科技局、市财政局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支持打造产业创新平台。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鼓励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茌平、阳谷、临清等地立足自身特有的要素禀赋和比较优势，主动对接科研院所，强化产业创新能力，积极创建省级制造业创新中心。支持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精深加工重点企业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自建或校企联合创建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工程技术研究中心、工业设计中心、企业技术中心、工程研究中心、重点实验室等创新平台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有关政策给予相应的奖励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责任单位：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市科技局、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市工业和信息化局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、市财政局，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茌平区政府、阳谷县政府、临清市政府）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优化提升产业链条。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信发集团与当地涉铝企业合作，理顺铝液供需矛盾问题，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确保铝液供应安全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充足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茌平区政府适时研究出台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价格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补贴措施。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祥光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（建发）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废杂铜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原料生产纯度符合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我市铜产业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要求的无氧电工铜杆线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，为下游线缆、管、箔提供原材料，提高产业链内的流通性。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祥光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（建发）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铜业140万吨硫酸产能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供应我市黑色金属、铝加工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产业，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提高本地产业配套率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市工业和信息化局、市财政局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茌平区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政府、阳谷县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政府）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.加快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绿色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建材推广应用。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鼓励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蓝天七色、海天七彩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等重点铝单板生产企业，不断进行产品研发，大力发展材质更加轻量、性能更加优异，更加健康环保的新产品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对获批绿色建材三星认证企业或连续三年企业每年出口额达5000万元人民币的规上铝单板企业，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推行环保绩效水平分级管控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措施。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（责任单位：市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住房和城乡建设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局、市生态环境局、市市场监督管理局、市工业和信息化局、市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投资促进局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.鼓励“以商招商”。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按照全市有色金属深加工产业规划和发展需求，瞄准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再生铜铝、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汽车零部件、建筑型材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着力招引带动作用强、投资规模大、市场前景好的“大项目、好项目”，重点引进完善现有产业链环节的延链、补链、强链型项目，不断健全产业体系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按照项目落户地奖励政策予以奖励。（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责任单位：市投资促进局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各县（市、区）政府、市属开发区）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.全面拓展国内外市场。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鼓励企业积极参加国内外各类综合展会及交易会，全面推介优势产品，寻求合作商机，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对参加重点国际展会的本地企业产生的展位费、展位搭建费、展品运输费、现场工作人员服务费（代参展模式）等，利用外经贸发展专项资金给予支持。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支持企业在聊举办行业年会、高层峰会、学术研讨会及专场推介会等活动，提升行业话语权，扩大聊城有色金属深加工产业知名度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（责任单位：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eastAsia="zh-CN"/>
        </w:rPr>
        <w:t>投资促进局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、市工业和信息化局、市财政局）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推进人才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队伍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建设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引导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驻聊高等院校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含技工院校）发挥自身优势，开设有色金属深加工专业，在铜铝产业人才培养、职工培训、订单式培养等方面开展多层次合作。实施铜铝产业领军人才工程，支持有色金属深加工领域引进和培养高层次产业创新人才。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（责任单位：市教育和体育局、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市发展和改革委员会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、市人力资源和社会保障局、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市工业和信息化局、</w:t>
      </w:r>
      <w:bookmarkStart w:id="1" w:name="_GoBack"/>
      <w:bookmarkEnd w:id="1"/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市科技局）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15.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提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升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企业本质安全水平。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指导全市有色金属深加工企业加强安全生产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在行业发展规划、政策法规、标准规范等方面统筹考虑安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全生产,实施传统产业技术改造、淘汰落后工艺和产能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促进产业结构升级和布局调整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促进工业化和信息化深度融合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提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企业本质安全水平。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（责任单位：市工业和信息化局、市应急管理局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保障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.强化组织推进。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市有色金属产业链推进组负责统筹有色金属深加工产业发展工作，做实产业链“链长制”，各县（市、区）人民政府要积极建立推进有色金属深加工产业高质量发展协调机制，并依据本实施意见制定具体落实措施，研究、协调、解决推进有色金属深加工产业发展中遇到的困难和问题，遇重大问题及时报市政府专题研究讨论，确保产业链运转平稳有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17.强化政策落实。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统筹聊城市各类财政扶持资金，通过补贴、奖励等多种方式，加大对有色金属深加工企业在高端化、绿色化、数字化、精品化、集群化转型，再生有色金属循环利用等方面的支持力度，优先扶持重点企业、重点项目及各类平台建设。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.强化评估督导。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市有色金属产业链推进组要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通过实地督导、召开调度总结会议等形式及时掌握政策落地过程中的困难问题；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加强对有关县（市、区）、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有关部门、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企业工作情况的督查督导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，确保各项推进措施落到实处。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zVkYmJiNzA2YWQ4ZjE0MzhmNWU2ZTdiNjQxZTcifQ=="/>
  </w:docVars>
  <w:rsids>
    <w:rsidRoot w:val="31136B4E"/>
    <w:rsid w:val="003E5E00"/>
    <w:rsid w:val="00F05477"/>
    <w:rsid w:val="01A93108"/>
    <w:rsid w:val="03005340"/>
    <w:rsid w:val="03AC0D71"/>
    <w:rsid w:val="03AE393E"/>
    <w:rsid w:val="040675CF"/>
    <w:rsid w:val="043B2EAD"/>
    <w:rsid w:val="05483AD3"/>
    <w:rsid w:val="0769518E"/>
    <w:rsid w:val="08155714"/>
    <w:rsid w:val="084A7B62"/>
    <w:rsid w:val="09787D8D"/>
    <w:rsid w:val="0A52707D"/>
    <w:rsid w:val="0A876E4C"/>
    <w:rsid w:val="0C6B2971"/>
    <w:rsid w:val="0D3C1A35"/>
    <w:rsid w:val="0ED1566D"/>
    <w:rsid w:val="10645539"/>
    <w:rsid w:val="10967EB0"/>
    <w:rsid w:val="114C04A7"/>
    <w:rsid w:val="11E46608"/>
    <w:rsid w:val="122B4561"/>
    <w:rsid w:val="15466A4B"/>
    <w:rsid w:val="157B135B"/>
    <w:rsid w:val="16B54D41"/>
    <w:rsid w:val="18B9608C"/>
    <w:rsid w:val="19193033"/>
    <w:rsid w:val="193D3E2A"/>
    <w:rsid w:val="1AFC4CEC"/>
    <w:rsid w:val="1B317A62"/>
    <w:rsid w:val="1B770817"/>
    <w:rsid w:val="1CB30F21"/>
    <w:rsid w:val="1D565BDB"/>
    <w:rsid w:val="209854B7"/>
    <w:rsid w:val="22D04427"/>
    <w:rsid w:val="23307A3A"/>
    <w:rsid w:val="250C0222"/>
    <w:rsid w:val="26E03714"/>
    <w:rsid w:val="29EF6ACE"/>
    <w:rsid w:val="2B634913"/>
    <w:rsid w:val="2D302CE8"/>
    <w:rsid w:val="2DB256DE"/>
    <w:rsid w:val="2DBB0A37"/>
    <w:rsid w:val="2DBB4593"/>
    <w:rsid w:val="2DCE28FC"/>
    <w:rsid w:val="2DF9330D"/>
    <w:rsid w:val="2E7D0F9A"/>
    <w:rsid w:val="2F7E3ACA"/>
    <w:rsid w:val="2FFBC8EE"/>
    <w:rsid w:val="30226B4B"/>
    <w:rsid w:val="31136B4E"/>
    <w:rsid w:val="33185FE3"/>
    <w:rsid w:val="33D7E9E4"/>
    <w:rsid w:val="35441312"/>
    <w:rsid w:val="35771849"/>
    <w:rsid w:val="357A527A"/>
    <w:rsid w:val="358E07DF"/>
    <w:rsid w:val="36C24F2E"/>
    <w:rsid w:val="379522F8"/>
    <w:rsid w:val="385A460F"/>
    <w:rsid w:val="387B504A"/>
    <w:rsid w:val="3B4200A1"/>
    <w:rsid w:val="3BA5491E"/>
    <w:rsid w:val="3C2B6AD2"/>
    <w:rsid w:val="3C836BC3"/>
    <w:rsid w:val="3C8955AA"/>
    <w:rsid w:val="3D453E79"/>
    <w:rsid w:val="3DA72C85"/>
    <w:rsid w:val="3DE11DF4"/>
    <w:rsid w:val="3E5C36DB"/>
    <w:rsid w:val="3EB7A213"/>
    <w:rsid w:val="3ED01256"/>
    <w:rsid w:val="3F3A682C"/>
    <w:rsid w:val="3F574315"/>
    <w:rsid w:val="3F9D1D4A"/>
    <w:rsid w:val="3FAF6650"/>
    <w:rsid w:val="3FF5535F"/>
    <w:rsid w:val="404C5282"/>
    <w:rsid w:val="438D078D"/>
    <w:rsid w:val="43FD725B"/>
    <w:rsid w:val="44B40DF4"/>
    <w:rsid w:val="451851EA"/>
    <w:rsid w:val="4521341D"/>
    <w:rsid w:val="46A936CA"/>
    <w:rsid w:val="46DB13AA"/>
    <w:rsid w:val="472A10BF"/>
    <w:rsid w:val="474829B9"/>
    <w:rsid w:val="476B27F0"/>
    <w:rsid w:val="48EA3B26"/>
    <w:rsid w:val="49AD702E"/>
    <w:rsid w:val="4A671AC4"/>
    <w:rsid w:val="4A820842"/>
    <w:rsid w:val="4A960D92"/>
    <w:rsid w:val="4A993A56"/>
    <w:rsid w:val="4B4439C2"/>
    <w:rsid w:val="4B5F25AA"/>
    <w:rsid w:val="4BB5041C"/>
    <w:rsid w:val="4C4753F9"/>
    <w:rsid w:val="4D924EB8"/>
    <w:rsid w:val="4DFA7E7A"/>
    <w:rsid w:val="4FAF7F0E"/>
    <w:rsid w:val="4FDCCD61"/>
    <w:rsid w:val="508D7BB9"/>
    <w:rsid w:val="521D5372"/>
    <w:rsid w:val="52841EDF"/>
    <w:rsid w:val="534A7FE3"/>
    <w:rsid w:val="541D74A6"/>
    <w:rsid w:val="55992B5C"/>
    <w:rsid w:val="55F12998"/>
    <w:rsid w:val="563D7167"/>
    <w:rsid w:val="57DE0CFA"/>
    <w:rsid w:val="58A97AA0"/>
    <w:rsid w:val="59123351"/>
    <w:rsid w:val="59B61F2F"/>
    <w:rsid w:val="5A3B0686"/>
    <w:rsid w:val="5AA77AC9"/>
    <w:rsid w:val="5AB67EF3"/>
    <w:rsid w:val="5BB916E8"/>
    <w:rsid w:val="5C0B1AA3"/>
    <w:rsid w:val="5C7F0CFE"/>
    <w:rsid w:val="5D0B433F"/>
    <w:rsid w:val="5DB07AFC"/>
    <w:rsid w:val="5ED65B32"/>
    <w:rsid w:val="5F83500A"/>
    <w:rsid w:val="6057789C"/>
    <w:rsid w:val="606D18EB"/>
    <w:rsid w:val="60D333C6"/>
    <w:rsid w:val="60D55390"/>
    <w:rsid w:val="62EE44E7"/>
    <w:rsid w:val="62F37D50"/>
    <w:rsid w:val="653528A1"/>
    <w:rsid w:val="679C6C08"/>
    <w:rsid w:val="67C070A4"/>
    <w:rsid w:val="682A263D"/>
    <w:rsid w:val="6888718C"/>
    <w:rsid w:val="68E00D76"/>
    <w:rsid w:val="69605A13"/>
    <w:rsid w:val="699851AD"/>
    <w:rsid w:val="6AB46016"/>
    <w:rsid w:val="6B961BC0"/>
    <w:rsid w:val="6BBB5C05"/>
    <w:rsid w:val="6DAF5D96"/>
    <w:rsid w:val="6DB74540"/>
    <w:rsid w:val="6FC5F973"/>
    <w:rsid w:val="6FCF807D"/>
    <w:rsid w:val="6FDBE12B"/>
    <w:rsid w:val="6FDF6867"/>
    <w:rsid w:val="6FE93462"/>
    <w:rsid w:val="717B4CE4"/>
    <w:rsid w:val="721E8C8C"/>
    <w:rsid w:val="72281098"/>
    <w:rsid w:val="72B71891"/>
    <w:rsid w:val="740A4EF9"/>
    <w:rsid w:val="748E0B91"/>
    <w:rsid w:val="74F373A1"/>
    <w:rsid w:val="757F6639"/>
    <w:rsid w:val="763E532E"/>
    <w:rsid w:val="76CE23DB"/>
    <w:rsid w:val="777BA2DB"/>
    <w:rsid w:val="77EB2D21"/>
    <w:rsid w:val="78676B72"/>
    <w:rsid w:val="78AC454E"/>
    <w:rsid w:val="78E90BAC"/>
    <w:rsid w:val="78EC15E8"/>
    <w:rsid w:val="78EE4DE9"/>
    <w:rsid w:val="794F03AD"/>
    <w:rsid w:val="79BE71CC"/>
    <w:rsid w:val="79FF3FFE"/>
    <w:rsid w:val="7A2F2216"/>
    <w:rsid w:val="7A8F43AA"/>
    <w:rsid w:val="7A9D3255"/>
    <w:rsid w:val="7AD87AFF"/>
    <w:rsid w:val="7B963516"/>
    <w:rsid w:val="7BCFC008"/>
    <w:rsid w:val="7BF57FD4"/>
    <w:rsid w:val="7C837F1E"/>
    <w:rsid w:val="7CEF1130"/>
    <w:rsid w:val="7DAF55B6"/>
    <w:rsid w:val="7E463B72"/>
    <w:rsid w:val="7E924469"/>
    <w:rsid w:val="7EF56677"/>
    <w:rsid w:val="7F4C0ABC"/>
    <w:rsid w:val="7F5258E2"/>
    <w:rsid w:val="7F673200"/>
    <w:rsid w:val="7FCDBA57"/>
    <w:rsid w:val="7FFE9548"/>
    <w:rsid w:val="AFF1C024"/>
    <w:rsid w:val="B78F0A0D"/>
    <w:rsid w:val="BAF98A0A"/>
    <w:rsid w:val="CFFB1019"/>
    <w:rsid w:val="E4F73AD1"/>
    <w:rsid w:val="E6DFE638"/>
    <w:rsid w:val="E8B90331"/>
    <w:rsid w:val="F1DFEE1A"/>
    <w:rsid w:val="F7CC4C8F"/>
    <w:rsid w:val="F9FFA86D"/>
    <w:rsid w:val="FDE5129B"/>
    <w:rsid w:val="FEFF5EFF"/>
    <w:rsid w:val="FF3D901F"/>
    <w:rsid w:val="FF95AB4D"/>
    <w:rsid w:val="FFCDE94A"/>
    <w:rsid w:val="FF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rFonts w:ascii="Calibri" w:hAnsi="Calibri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pPr>
      <w:spacing w:line="360" w:lineRule="auto"/>
      <w:ind w:firstLine="200" w:firstLineChars="200"/>
      <w:jc w:val="both"/>
    </w:pPr>
    <w:rPr>
      <w:rFonts w:ascii="PMingLiU" w:hAnsi="PMingLiU" w:eastAsia="华文仿宋" w:cs="PMingLiU"/>
      <w:sz w:val="28"/>
      <w:szCs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4733</Words>
  <Characters>4800</Characters>
  <Lines>0</Lines>
  <Paragraphs>0</Paragraphs>
  <TotalTime>2</TotalTime>
  <ScaleCrop>false</ScaleCrop>
  <LinksUpToDate>false</LinksUpToDate>
  <CharactersWithSpaces>4801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2023-02-10T02:45:00Z</dcterms:created>
  <dc:creator>一腔孤勇</dc:creator>
  <cp:lastModifiedBy>佳禾</cp:lastModifiedBy>
  <cp:lastPrinted>2023-03-01T03:06:00Z</cp:lastPrinted>
  <dcterms:modified xsi:type="dcterms:W3CDTF">2023-03-02T07:02:31Z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EC44058073E44756A390DED899566903</vt:lpwstr>
  </property>
</Properties>
</file>